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R4-2301744</w:t>
      </w:r>
      <w:bookmarkStart w:id="25" w:name="_GoBack"/>
      <w:bookmarkEnd w:id="2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ascii="Arial" w:hAnsi="Arial" w:cs="Arial"/>
          <w:b/>
          <w:bCs/>
          <w:sz w:val="24"/>
          <w:szCs w:val="24"/>
        </w:rPr>
        <w:t xml:space="preserve"> </w:t>
      </w:r>
      <w:r>
        <w:rPr>
          <w:rFonts w:hint="eastAsia" w:ascii="Arial" w:hAnsi="Arial" w:cs="Arial"/>
          <w:b/>
          <w:bCs/>
          <w:sz w:val="24"/>
          <w:szCs w:val="24"/>
          <w:lang w:val="en-US" w:eastAsia="zh-CN"/>
        </w:rPr>
        <w:t>Mar,</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Batang"/>
          <w:b/>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eastAsia="Batang"/>
          <w:b/>
          <w:lang w:val="en-US" w:eastAsia="zh-CN"/>
        </w:rPr>
        <w:t>.25.1.1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system parameter for NTN in Ka 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bCs/>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further views for system parameters for NTN in Ka-band.</w:t>
      </w:r>
      <w:bookmarkStart w:id="1" w:name="OLE_LINK35"/>
    </w:p>
    <w:p>
      <w:pPr>
        <w:spacing w:after="120"/>
        <w:rPr>
          <w:szCs w:val="24"/>
          <w:highlight w:val="green"/>
          <w:lang w:eastAsia="zh-CN"/>
        </w:rPr>
      </w:pPr>
      <w:r>
        <w:rPr>
          <w:szCs w:val="24"/>
          <w:highlight w:val="green"/>
          <w:lang w:eastAsia="zh-CN"/>
        </w:rPr>
        <w:t xml:space="preserve">Agreement:  </w:t>
      </w:r>
    </w:p>
    <w:p>
      <w:pPr>
        <w:pStyle w:val="34"/>
        <w:numPr>
          <w:ilvl w:val="0"/>
          <w:numId w:val="2"/>
        </w:numPr>
        <w:rPr>
          <w:highlight w:val="green"/>
        </w:rPr>
      </w:pPr>
      <w:r>
        <w:rPr>
          <w:highlight w:val="green"/>
        </w:rPr>
        <w:t xml:space="preserve">FSS spectrum should be included in 3GPP band definition for the purpose of enabling </w:t>
      </w:r>
      <w:r>
        <w:rPr>
          <w:strike/>
          <w:highlight w:val="green"/>
        </w:rPr>
        <w:t>ESIM/moving VSAT</w:t>
      </w:r>
      <w:r>
        <w:rPr>
          <w:highlight w:val="green"/>
        </w:rPr>
        <w:t xml:space="preserve"> moveable NTN terminal with priority.  [Fixed VSAT in FSS allocation – Companies to check RAN4 ToR to see if there is a restriction on fixed device in fixed spectrum]</w:t>
      </w:r>
    </w:p>
    <w:p>
      <w:pPr>
        <w:pStyle w:val="34"/>
        <w:numPr>
          <w:ilvl w:val="0"/>
          <w:numId w:val="2"/>
        </w:numPr>
        <w:rPr>
          <w:bCs/>
        </w:rPr>
      </w:pPr>
      <w:r>
        <w:rPr>
          <w:highlight w:val="green"/>
        </w:rPr>
        <w:t xml:space="preserve">Define several NTN Ka-bands to address the diversity of spectrum allocation </w:t>
      </w:r>
      <w:r>
        <w:rPr>
          <w:strike/>
          <w:highlight w:val="green"/>
        </w:rPr>
        <w:t>to ESIM</w:t>
      </w:r>
      <w:r>
        <w:rPr>
          <w:highlight w:val="green"/>
        </w:rPr>
        <w:t xml:space="preserve"> by national regulators, RAN4 should consider specifying several “NTN Ka-bands”</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0"/>
      <w:bookmarkStart w:id="3" w:name="OLE_LINK20"/>
      <w:bookmarkStart w:id="4" w:name="OLE_LINK13"/>
      <w:bookmarkStart w:id="5"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cs="Times New Roman"/>
          <w:sz w:val="20"/>
          <w:szCs w:val="20"/>
          <w:lang w:val="en-US" w:eastAsia="zh-CN"/>
        </w:rPr>
      </w:pPr>
      <w:r>
        <w:rPr>
          <w:rFonts w:hint="eastAsia" w:ascii="Arial" w:hAnsi="Arial" w:cs="Arial"/>
          <w:sz w:val="28"/>
          <w:szCs w:val="28"/>
          <w:lang w:val="en-US" w:eastAsia="zh-CN"/>
        </w:rPr>
        <w:t>2.1. Channel bandwidth</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cs="Times New Roman"/>
          <w:sz w:val="20"/>
          <w:szCs w:val="20"/>
          <w:lang w:val="en-US" w:eastAsia="zh-CN"/>
        </w:rPr>
      </w:pPr>
      <w:r>
        <w:rPr>
          <w:rFonts w:hint="eastAsia" w:cs="Times New Roman"/>
          <w:sz w:val="20"/>
          <w:szCs w:val="20"/>
          <w:lang w:val="en-US" w:eastAsia="zh-CN"/>
        </w:rPr>
        <w:t>In Last RAN4 meeting, we agree to define 400MHz as optional for NTN UE in Rel-18. Regarding higher channel bandwidth beyond 400MHz, we don</w:t>
      </w:r>
      <w:r>
        <w:rPr>
          <w:rFonts w:hint="default" w:cs="Times New Roman"/>
          <w:sz w:val="20"/>
          <w:szCs w:val="20"/>
          <w:lang w:val="en-US" w:eastAsia="zh-CN"/>
        </w:rPr>
        <w:t>’</w:t>
      </w:r>
      <w:r>
        <w:rPr>
          <w:rFonts w:hint="eastAsia" w:cs="Times New Roman"/>
          <w:sz w:val="20"/>
          <w:szCs w:val="20"/>
          <w:lang w:val="en-US" w:eastAsia="zh-CN"/>
        </w:rPr>
        <w:t>t see its necessity for it. In Rel-17 FR2-2, we have defined larger channel bandwidth for it, however this is not applicable for FR2-1. Ka-band is somehow overlapping with band n257 which is still part of FR2-1. For MSS-band, maximum available spectrum should be 500MHz which is slightly larger than 400MHz, however if we want to define 500MHz channel bandwidth for NTN UE in Ka-band in Rel-18, then it could cause quite lots of additional standardization work and cannot reuse the existing FR2-1 implementation as much as possible. Based on above analysis, we made the following proposal:</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eastAsia" w:cs="Times New Roman"/>
          <w:sz w:val="20"/>
          <w:szCs w:val="20"/>
          <w:lang w:val="en-US" w:eastAsia="zh-CN"/>
        </w:rPr>
      </w:pPr>
      <w:r>
        <w:rPr>
          <w:rFonts w:hint="eastAsia"/>
          <w:b/>
          <w:bCs/>
          <w:i w:val="0"/>
          <w:iCs w:val="0"/>
          <w:lang w:val="en-US" w:eastAsia="zh-CN"/>
        </w:rPr>
        <w:t>Proposal 1:</w:t>
      </w:r>
      <w:r>
        <w:rPr>
          <w:rFonts w:hint="eastAsia"/>
          <w:b w:val="0"/>
          <w:bCs w:val="0"/>
          <w:i w:val="0"/>
          <w:iCs w:val="0"/>
          <w:lang w:val="en-US" w:eastAsia="zh-CN"/>
        </w:rPr>
        <w:t xml:space="preserve"> not to define channel bandwidth beyond 400MHz for </w:t>
      </w:r>
      <w:r>
        <w:rPr>
          <w:rFonts w:hint="eastAsia" w:cs="Times New Roman"/>
          <w:sz w:val="20"/>
          <w:szCs w:val="20"/>
          <w:lang w:val="en-US" w:eastAsia="zh-CN"/>
        </w:rPr>
        <w:t>Ka-band MSS-band.</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szCs w:val="24"/>
          <w:lang w:val="en-US" w:eastAsia="zh-CN"/>
        </w:rPr>
      </w:pPr>
      <w:r>
        <w:rPr>
          <w:rFonts w:hint="eastAsia" w:cs="Times New Roman"/>
          <w:sz w:val="20"/>
          <w:szCs w:val="20"/>
          <w:lang w:val="en-US" w:eastAsia="zh-CN"/>
        </w:rPr>
        <w:t xml:space="preserve">In the last RAN4 meeting, </w:t>
      </w:r>
      <w:bookmarkStart w:id="6" w:name="_Toc83580323"/>
      <w:bookmarkStart w:id="7" w:name="_Toc61367258"/>
      <w:bookmarkStart w:id="8" w:name="_Toc69083994"/>
      <w:bookmarkStart w:id="9" w:name="_Toc45888019"/>
      <w:bookmarkStart w:id="10" w:name="_Toc75467001"/>
      <w:bookmarkStart w:id="11" w:name="_Toc76509023"/>
      <w:bookmarkStart w:id="12" w:name="_Toc29801683"/>
      <w:bookmarkStart w:id="13" w:name="_Toc84413441"/>
      <w:bookmarkStart w:id="14" w:name="_Toc36107474"/>
      <w:bookmarkStart w:id="15" w:name="_Toc21344199"/>
      <w:bookmarkStart w:id="16" w:name="_Toc61372641"/>
      <w:bookmarkStart w:id="17" w:name="_Toc29802107"/>
      <w:bookmarkStart w:id="18" w:name="_Toc29802732"/>
      <w:bookmarkStart w:id="19" w:name="_Toc76718013"/>
      <w:bookmarkStart w:id="20" w:name="_Toc68230581"/>
      <w:bookmarkStart w:id="21" w:name="_Toc84404832"/>
      <w:bookmarkStart w:id="22" w:name="_Toc45888618"/>
      <w:bookmarkStart w:id="23" w:name="_Toc37251233"/>
      <w:r>
        <w:rPr>
          <w:rFonts w:hint="eastAsia" w:cs="Times New Roman"/>
          <w:sz w:val="20"/>
          <w:szCs w:val="20"/>
          <w:lang w:val="en-US" w:eastAsia="zh-CN"/>
        </w:rPr>
        <w:t xml:space="preserve">there were some initial discussions for </w:t>
      </w:r>
      <w:r>
        <w:rPr>
          <w:rFonts w:eastAsia="宋体"/>
          <w:szCs w:val="24"/>
          <w:lang w:val="en-US" w:eastAsia="zh-CN"/>
        </w:rPr>
        <w:t>Asymmetric channel bandwidths between DL and UL</w:t>
      </w:r>
      <w:r>
        <w:rPr>
          <w:rFonts w:hint="eastAsia"/>
          <w:szCs w:val="24"/>
          <w:lang w:val="en-US" w:eastAsia="zh-CN"/>
        </w:rPr>
        <w:t xml:space="preserve"> in Ka-band, we are also open for further discussion. In general, from system parameter perspective, for asymmetric channel bandwidth, we need to define the following Tx-Rx carrier center frequency separation due to the constraints of duplex design of FDD band, however as for NTN UE filtering assumption in last RAN4 meeting, due to the large frequency gap up to 7GHz in Ka-band MSS-band, then no such of filtering or duplex are needed for Ka-band MSS-band, in other words, the following restriction for Tx-Rx carrier center frequency separation are not needed.</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szCs w:val="24"/>
          <w:lang w:val="en-US" w:eastAsia="zh-CN"/>
        </w:rPr>
      </w:pP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pPr>
      <w:r>
        <w:t>5.3.6</w:t>
      </w:r>
      <w:r>
        <w:tab/>
      </w:r>
      <w:r>
        <w:t>Asymmetric channel bandwidths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Tx-Rx carrier center frequency separation (defined in table 5.4.4-1) as following:</w:t>
      </w:r>
    </w:p>
    <w:p>
      <w:pPr>
        <w:pStyle w:val="43"/>
        <w:jc w:val="center"/>
      </w:pPr>
      <w:r>
        <w:t>ΔF</w:t>
      </w:r>
      <w:r>
        <w:rPr>
          <w:vertAlign w:val="subscript"/>
        </w:rPr>
        <w:t>TX-RX</w:t>
      </w:r>
      <w:r>
        <w:t xml:space="preserve"> = | (BW</w:t>
      </w:r>
      <w:r>
        <w:rPr>
          <w:vertAlign w:val="subscript"/>
        </w:rPr>
        <w:t>DL</w:t>
      </w:r>
      <w:r>
        <w:t xml:space="preserve"> – BW</w:t>
      </w:r>
      <w:r>
        <w:rPr>
          <w:vertAlign w:val="subscript"/>
        </w:rPr>
        <w:t>UL</w:t>
      </w:r>
      <w:r>
        <w:t>)/2 |</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pPr>
      <w:r>
        <w:t>The operating bands and supported asymmetric channel bandwidth combinations are defined in table 5.3.6-1.</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b w:val="0"/>
          <w:bCs w:val="0"/>
          <w:i w:val="0"/>
          <w:iCs w:val="0"/>
          <w:lang w:val="en-US" w:eastAsia="zh-CN"/>
        </w:rPr>
      </w:pPr>
      <w:r>
        <w:rPr>
          <w:rFonts w:hint="eastAsia"/>
          <w:b/>
          <w:bCs/>
          <w:i w:val="0"/>
          <w:iCs w:val="0"/>
          <w:lang w:val="en-US" w:eastAsia="zh-CN"/>
        </w:rPr>
        <w:t>Observation 1:</w:t>
      </w:r>
      <w:r>
        <w:rPr>
          <w:rFonts w:hint="eastAsia"/>
          <w:b w:val="0"/>
          <w:bCs w:val="0"/>
          <w:i w:val="0"/>
          <w:iCs w:val="0"/>
          <w:lang w:val="en-US" w:eastAsia="zh-CN"/>
        </w:rPr>
        <w:t xml:space="preserve"> the legacy</w:t>
      </w:r>
      <w:r>
        <w:rPr>
          <w:rFonts w:hint="eastAsia"/>
          <w:szCs w:val="24"/>
          <w:lang w:val="en-US" w:eastAsia="zh-CN"/>
        </w:rPr>
        <w:t xml:space="preserve"> restriction for Tx-Rx carrier center frequency separation might be not needed if there are no filtering or duplex between MSS-band DL and UL.</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bookmarkStart w:id="24" w:name="OLE_LINK8"/>
      <w:r>
        <w:rPr>
          <w:rFonts w:hint="eastAsia" w:ascii="Arial" w:hAnsi="Arial" w:cs="Arial"/>
          <w:sz w:val="28"/>
          <w:szCs w:val="28"/>
          <w:lang w:val="en-US" w:eastAsia="zh-CN"/>
        </w:rPr>
        <w:t>2.2. Spectral utilization</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the spectral utilization for NTN Ka-band, technically speaking, the spectral utilization should be more or less dependent on the waveform, ACLR, out of band emission, ACS and EVM requirements etc. However based on the experience of Rel-17 NR over NTN discussion, it</w:t>
      </w:r>
      <w:r>
        <w:rPr>
          <w:rFonts w:hint="default"/>
          <w:lang w:val="en-US" w:eastAsia="zh-CN"/>
        </w:rPr>
        <w:t>’</w:t>
      </w:r>
      <w:r>
        <w:rPr>
          <w:rFonts w:hint="eastAsia"/>
          <w:lang w:val="en-US" w:eastAsia="zh-CN"/>
        </w:rPr>
        <w:t>s most likely that SAN RF requirement for NTN Ka-band would be relaxed compared with the RF requirement of the terrestrial BS, therefore we don</w:t>
      </w:r>
      <w:r>
        <w:rPr>
          <w:rFonts w:hint="default"/>
          <w:lang w:val="en-US" w:eastAsia="zh-CN"/>
        </w:rPr>
        <w:t>’</w:t>
      </w:r>
      <w:r>
        <w:rPr>
          <w:rFonts w:hint="eastAsia"/>
          <w:lang w:val="en-US" w:eastAsia="zh-CN"/>
        </w:rPr>
        <w:t>t see the problem to follow the spectral utilization of terrestrial NR system.</w:t>
      </w:r>
    </w:p>
    <w:p>
      <w:pPr>
        <w:keepNext w:val="0"/>
        <w:keepLines w:val="0"/>
        <w:pageBreakBefore w:val="0"/>
        <w:widowControl w:val="0"/>
        <w:suppressLineNumbers w:val="0"/>
        <w:kinsoku/>
        <w:wordWrap/>
        <w:topLinePunct w:val="0"/>
        <w:bidi w:val="0"/>
        <w:snapToGrid/>
        <w:spacing w:before="120" w:beforeLines="0" w:after="120" w:afterLines="0"/>
        <w:jc w:val="left"/>
        <w:rPr>
          <w:rFonts w:hint="default"/>
          <w:b w:val="0"/>
          <w:bCs w:val="0"/>
          <w:i w:val="0"/>
          <w:iCs w:val="0"/>
          <w:sz w:val="20"/>
          <w:szCs w:val="20"/>
          <w:u w:val="none"/>
          <w:lang w:val="en-US" w:eastAsia="zh-CN"/>
        </w:rPr>
      </w:pPr>
      <w:r>
        <w:rPr>
          <w:rFonts w:hint="eastAsia"/>
          <w:b/>
          <w:bCs/>
          <w:i w:val="0"/>
          <w:iCs w:val="0"/>
          <w:sz w:val="20"/>
          <w:szCs w:val="20"/>
          <w:u w:val="none"/>
          <w:lang w:val="en-US" w:eastAsia="zh-CN"/>
        </w:rPr>
        <w:t>Proposal 2:</w:t>
      </w:r>
      <w:r>
        <w:rPr>
          <w:rFonts w:hint="eastAsia"/>
          <w:b w:val="0"/>
          <w:bCs w:val="0"/>
          <w:i w:val="0"/>
          <w:iCs w:val="0"/>
          <w:sz w:val="20"/>
          <w:szCs w:val="20"/>
          <w:u w:val="none"/>
          <w:lang w:val="en-US" w:eastAsia="zh-CN"/>
        </w:rPr>
        <w:t xml:space="preserve"> to use the same spectral utilization requirement of FR2 TN system for NTN Ka-band as starting point.</w:t>
      </w:r>
    </w:p>
    <w:p>
      <w:pPr>
        <w:keepNext w:val="0"/>
        <w:keepLines w:val="0"/>
        <w:pageBreakBefore w:val="0"/>
        <w:widowControl w:val="0"/>
        <w:suppressLineNumbers w:val="0"/>
        <w:kinsoku/>
        <w:wordWrap/>
        <w:topLinePunct w:val="0"/>
        <w:bidi w:val="0"/>
        <w:snapToGrid/>
        <w:jc w:val="left"/>
        <w:outlineLvl w:val="1"/>
        <w:rPr>
          <w:rFonts w:hint="default"/>
          <w:b/>
          <w:bCs/>
          <w:i w:val="0"/>
          <w:iCs w:val="0"/>
          <w:u w:val="single"/>
          <w:lang w:val="en-US" w:eastAsia="zh-CN"/>
        </w:rPr>
      </w:pPr>
      <w:r>
        <w:rPr>
          <w:rFonts w:hint="eastAsia" w:ascii="Arial" w:hAnsi="Arial" w:cs="Arial"/>
          <w:sz w:val="28"/>
          <w:szCs w:val="28"/>
          <w:lang w:val="en-US" w:eastAsia="zh-CN"/>
        </w:rPr>
        <w:t>2.3. Channel raster and sync raster</w:t>
      </w:r>
    </w:p>
    <w:p>
      <w:pPr>
        <w:pStyle w:val="35"/>
        <w:jc w:val="both"/>
        <w:rPr>
          <w:rFonts w:hint="default" w:eastAsia="宋体"/>
          <w:b w:val="0"/>
          <w:bCs w:val="0"/>
          <w:i w:val="0"/>
          <w:iCs w:val="0"/>
          <w:highlight w:val="none"/>
          <w:lang w:val="en-US" w:eastAsia="zh-CN"/>
        </w:rPr>
      </w:pPr>
      <w:r>
        <w:rPr>
          <w:rFonts w:hint="eastAsia" w:ascii="Times New Roman" w:hAnsi="Times New Roman" w:eastAsia="宋体"/>
          <w:b w:val="0"/>
          <w:bCs w:val="0"/>
          <w:i w:val="0"/>
          <w:iCs w:val="0"/>
          <w:kern w:val="2"/>
          <w:sz w:val="21"/>
          <w:szCs w:val="22"/>
          <w:lang w:val="en-US" w:eastAsia="zh-CN"/>
        </w:rPr>
        <w:t>The channel raster for NTN Ka-band could be be the same as band n257, i.e. 60/120kHz to the simplify the VSAT /ESIM/MES implementation complexity for initial access. In addition, sync raster could use similar approach as band n257. It should be noted that range of N</w:t>
      </w:r>
      <w:r>
        <w:rPr>
          <w:rFonts w:hint="eastAsia" w:ascii="Times New Roman" w:hAnsi="Times New Roman" w:eastAsia="宋体"/>
          <w:b w:val="0"/>
          <w:kern w:val="2"/>
          <w:sz w:val="21"/>
          <w:szCs w:val="22"/>
          <w:vertAlign w:val="subscript"/>
          <w:lang w:val="en-US" w:eastAsia="zh-CN"/>
        </w:rPr>
        <w:t>REF</w:t>
      </w:r>
      <w:r>
        <w:rPr>
          <w:rFonts w:hint="eastAsia" w:ascii="Times New Roman" w:hAnsi="Times New Roman" w:eastAsia="宋体"/>
          <w:b w:val="0"/>
          <w:kern w:val="2"/>
          <w:sz w:val="21"/>
          <w:szCs w:val="22"/>
          <w:vertAlign w:val="baseline"/>
          <w:lang w:val="en-US" w:eastAsia="zh-CN"/>
        </w:rPr>
        <w:t xml:space="preserve"> should fall into 3GHz to 24.25GHz instead of 24.25-52.6GHz. Therefore global raster should be still 15kHz while with step size as 4 and 8 for 60kHz and 120kHz </w:t>
      </w:r>
      <w:r>
        <w:rPr>
          <w:rFonts w:hint="eastAsia" w:ascii="Times New Roman" w:hAnsi="Times New Roman" w:eastAsia="宋体"/>
          <w:b w:val="0"/>
          <w:kern w:val="2"/>
          <w:sz w:val="21"/>
          <w:szCs w:val="22"/>
          <w:lang w:val="en-US" w:eastAsia="zh-CN"/>
        </w:rPr>
        <w:t>ΔF</w:t>
      </w:r>
      <w:r>
        <w:rPr>
          <w:rFonts w:hint="eastAsia" w:ascii="Times New Roman" w:hAnsi="Times New Roman" w:eastAsia="宋体"/>
          <w:b w:val="0"/>
          <w:kern w:val="2"/>
          <w:sz w:val="21"/>
          <w:szCs w:val="22"/>
          <w:vertAlign w:val="subscript"/>
          <w:lang w:val="en-US" w:eastAsia="zh-CN"/>
        </w:rPr>
        <w:t>Raster</w:t>
      </w:r>
      <w:r>
        <w:rPr>
          <w:rFonts w:hint="eastAsia" w:ascii="Times New Roman" w:hAnsi="Times New Roman" w:eastAsia="宋体"/>
          <w:b w:val="0"/>
          <w:kern w:val="2"/>
          <w:sz w:val="21"/>
          <w:szCs w:val="22"/>
          <w:vertAlign w:val="baseline"/>
          <w:lang w:val="en-US" w:eastAsia="zh-CN"/>
        </w:rPr>
        <w:t>.</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to use following NR-ARFCN in the Table 2.3-1/2.3-2 for NTN Ka-band.</w:t>
      </w:r>
    </w:p>
    <w:p>
      <w:pPr>
        <w:pStyle w:val="45"/>
        <w:rPr>
          <w:rFonts w:hint="default" w:eastAsia="宋体"/>
          <w:color w:val="auto"/>
          <w:lang w:val="en-US" w:eastAsia="zh-CN"/>
        </w:rPr>
      </w:pPr>
      <w:r>
        <w:rPr>
          <w:color w:val="auto"/>
        </w:rPr>
        <w:t xml:space="preserve">Table </w:t>
      </w:r>
      <w:r>
        <w:rPr>
          <w:rFonts w:hint="eastAsia"/>
          <w:color w:val="auto"/>
          <w:lang w:val="en-US" w:eastAsia="zh-CN"/>
        </w:rPr>
        <w:t>2</w:t>
      </w:r>
      <w:r>
        <w:rPr>
          <w:color w:val="auto"/>
        </w:rPr>
        <w:t>.</w:t>
      </w:r>
      <w:r>
        <w:rPr>
          <w:rFonts w:hint="eastAsia"/>
          <w:color w:val="auto"/>
          <w:lang w:val="en-US" w:eastAsia="zh-CN"/>
        </w:rPr>
        <w:t>3</w:t>
      </w:r>
      <w:r>
        <w:rPr>
          <w:color w:val="auto"/>
        </w:rPr>
        <w:t xml:space="preserve">-1: </w:t>
      </w:r>
      <w:r>
        <w:rPr>
          <w:rFonts w:eastAsia="Yu Mincho"/>
          <w:color w:val="auto"/>
        </w:rPr>
        <w:t>NR-ARFCN parameters for the global frequency raster</w:t>
      </w:r>
      <w:r>
        <w:rPr>
          <w:rFonts w:hint="eastAsia" w:eastAsia="宋体"/>
          <w:color w:val="auto"/>
          <w:lang w:val="en-US" w:eastAsia="zh-CN"/>
        </w:rPr>
        <w:t xml:space="preserve"> [TS 38.101-</w:t>
      </w:r>
      <w:r>
        <w:rPr>
          <w:rFonts w:hint="eastAsia"/>
          <w:color w:val="auto"/>
          <w:lang w:val="en-US" w:eastAsia="zh-CN"/>
        </w:rPr>
        <w:t>5</w:t>
      </w:r>
      <w:r>
        <w:rPr>
          <w:rFonts w:hint="eastAsia" w:eastAsia="宋体"/>
          <w:color w:val="auto"/>
          <w:lang w:val="en-US" w:eastAsia="zh-CN"/>
        </w:rPr>
        <w:t>]</w:t>
      </w:r>
    </w:p>
    <w:tbl>
      <w:tblPr>
        <w:tblStyle w:val="24"/>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5"/>
              <w:rPr>
                <w:color w:val="auto"/>
              </w:rPr>
            </w:pPr>
            <w:r>
              <w:rPr>
                <w:color w:val="auto"/>
              </w:rPr>
              <w:t>Frequency range (MHz)</w:t>
            </w:r>
          </w:p>
        </w:tc>
        <w:tc>
          <w:tcPr>
            <w:tcW w:w="1369" w:type="dxa"/>
            <w:shd w:val="clear" w:color="auto" w:fill="auto"/>
          </w:tcPr>
          <w:p>
            <w:pPr>
              <w:pStyle w:val="35"/>
              <w:rPr>
                <w:color w:val="auto"/>
              </w:rPr>
            </w:pPr>
            <w:r>
              <w:rPr>
                <w:color w:val="auto"/>
              </w:rPr>
              <w:t>ΔF</w:t>
            </w:r>
            <w:r>
              <w:rPr>
                <w:color w:val="auto"/>
                <w:vertAlign w:val="subscript"/>
              </w:rPr>
              <w:t>Global</w:t>
            </w:r>
            <w:r>
              <w:rPr>
                <w:color w:val="auto"/>
              </w:rPr>
              <w:t xml:space="preserve"> (kHz)</w:t>
            </w:r>
          </w:p>
        </w:tc>
        <w:tc>
          <w:tcPr>
            <w:tcW w:w="1590" w:type="dxa"/>
            <w:shd w:val="clear" w:color="auto" w:fill="auto"/>
          </w:tcPr>
          <w:p>
            <w:pPr>
              <w:pStyle w:val="35"/>
              <w:rPr>
                <w:color w:val="auto"/>
              </w:rPr>
            </w:pPr>
            <w:r>
              <w:rPr>
                <w:color w:val="auto"/>
              </w:rPr>
              <w:t>F</w:t>
            </w:r>
            <w:r>
              <w:rPr>
                <w:color w:val="auto"/>
                <w:vertAlign w:val="subscript"/>
              </w:rPr>
              <w:t>REF-Offs</w:t>
            </w:r>
            <w:r>
              <w:rPr>
                <w:color w:val="auto"/>
              </w:rPr>
              <w:t xml:space="preserve"> [MHz]</w:t>
            </w:r>
          </w:p>
        </w:tc>
        <w:tc>
          <w:tcPr>
            <w:tcW w:w="1134" w:type="dxa"/>
            <w:shd w:val="clear" w:color="auto" w:fill="auto"/>
          </w:tcPr>
          <w:p>
            <w:pPr>
              <w:pStyle w:val="35"/>
              <w:rPr>
                <w:color w:val="auto"/>
              </w:rPr>
            </w:pPr>
            <w:r>
              <w:rPr>
                <w:color w:val="auto"/>
              </w:rPr>
              <w:t>N</w:t>
            </w:r>
            <w:r>
              <w:rPr>
                <w:color w:val="auto"/>
                <w:vertAlign w:val="subscript"/>
              </w:rPr>
              <w:t>REF-Offs</w:t>
            </w:r>
          </w:p>
        </w:tc>
        <w:tc>
          <w:tcPr>
            <w:tcW w:w="1935" w:type="dxa"/>
            <w:shd w:val="clear" w:color="auto" w:fill="auto"/>
          </w:tcPr>
          <w:p>
            <w:pPr>
              <w:pStyle w:val="35"/>
              <w:rPr>
                <w:color w:val="auto"/>
                <w:highlight w:val="yellow"/>
              </w:rPr>
            </w:pPr>
            <w:r>
              <w:rPr>
                <w:color w:val="auto"/>
                <w:highlight w:val="none"/>
              </w:rPr>
              <w:t>Range of N</w:t>
            </w:r>
            <w:r>
              <w:rPr>
                <w:color w:val="auto"/>
                <w:highlight w:val="none"/>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6"/>
              <w:rPr>
                <w:color w:val="auto"/>
                <w:lang w:val="en-US"/>
              </w:rPr>
            </w:pPr>
            <w:r>
              <w:rPr>
                <w:rFonts w:hint="eastAsia" w:cs="Arial"/>
                <w:color w:val="auto"/>
                <w:lang w:val="en-US" w:eastAsia="zh-CN"/>
              </w:rPr>
              <w:t>17700</w:t>
            </w:r>
            <w:r>
              <w:rPr>
                <w:color w:val="auto"/>
                <w:lang w:val="en-US"/>
              </w:rPr>
              <w:t xml:space="preserve"> – </w:t>
            </w:r>
            <w:r>
              <w:rPr>
                <w:rFonts w:hint="eastAsia" w:cs="Arial"/>
                <w:color w:val="auto"/>
                <w:lang w:val="en-US" w:eastAsia="zh-CN"/>
              </w:rPr>
              <w:t>20200</w:t>
            </w:r>
          </w:p>
        </w:tc>
        <w:tc>
          <w:tcPr>
            <w:tcW w:w="1369" w:type="dxa"/>
            <w:shd w:val="clear" w:color="auto" w:fill="auto"/>
          </w:tcPr>
          <w:p>
            <w:pPr>
              <w:pStyle w:val="36"/>
              <w:rPr>
                <w:rFonts w:hint="default" w:eastAsia="宋体"/>
                <w:color w:val="auto"/>
                <w:lang w:val="en-US" w:eastAsia="zh-CN"/>
              </w:rPr>
            </w:pPr>
            <w:r>
              <w:rPr>
                <w:rFonts w:hint="eastAsia" w:eastAsia="宋体"/>
                <w:color w:val="auto"/>
                <w:lang w:val="en-US" w:eastAsia="zh-CN"/>
              </w:rPr>
              <w:t>15</w:t>
            </w:r>
          </w:p>
        </w:tc>
        <w:tc>
          <w:tcPr>
            <w:tcW w:w="1590" w:type="dxa"/>
            <w:shd w:val="clear" w:color="auto" w:fill="auto"/>
            <w:vAlign w:val="bottom"/>
          </w:tcPr>
          <w:p>
            <w:pPr>
              <w:pStyle w:val="36"/>
              <w:rPr>
                <w:rFonts w:ascii="Arial" w:hAnsi="Arial" w:eastAsia="Times New Roman" w:cs="Times New Roman"/>
                <w:i w:val="0"/>
                <w:color w:val="auto"/>
                <w:kern w:val="0"/>
                <w:sz w:val="18"/>
                <w:szCs w:val="20"/>
                <w:u w:val="none"/>
                <w:lang w:val="en-US" w:eastAsia="zh-CN" w:bidi="ar-SA"/>
              </w:rPr>
            </w:pPr>
            <w:r>
              <w:rPr>
                <w:rFonts w:hint="default" w:ascii="Arial" w:hAnsi="Arial" w:eastAsia="Times New Roman" w:cs="Times New Roman"/>
                <w:i w:val="0"/>
                <w:color w:val="auto"/>
                <w:kern w:val="0"/>
                <w:sz w:val="18"/>
                <w:szCs w:val="20"/>
                <w:u w:val="none"/>
                <w:lang w:val="en-GB" w:eastAsia="ja-JP" w:bidi="ar-SA"/>
              </w:rPr>
              <w:t>1</w:t>
            </w:r>
            <w:r>
              <w:rPr>
                <w:rFonts w:hint="eastAsia" w:eastAsia="宋体" w:cs="Times New Roman"/>
                <w:i w:val="0"/>
                <w:color w:val="auto"/>
                <w:kern w:val="0"/>
                <w:sz w:val="18"/>
                <w:szCs w:val="20"/>
                <w:u w:val="none"/>
                <w:lang w:val="en-US" w:eastAsia="zh-CN" w:bidi="ar-SA"/>
              </w:rPr>
              <w:t>7</w:t>
            </w:r>
            <w:r>
              <w:rPr>
                <w:rFonts w:hint="default" w:ascii="Arial" w:hAnsi="Arial" w:eastAsia="Times New Roman" w:cs="Times New Roman"/>
                <w:i w:val="0"/>
                <w:color w:val="auto"/>
                <w:kern w:val="0"/>
                <w:sz w:val="18"/>
                <w:szCs w:val="20"/>
                <w:u w:val="none"/>
                <w:lang w:val="en-GB" w:eastAsia="ja-JP" w:bidi="ar-SA"/>
              </w:rPr>
              <w:t>700</w:t>
            </w:r>
          </w:p>
        </w:tc>
        <w:tc>
          <w:tcPr>
            <w:tcW w:w="1134" w:type="dxa"/>
            <w:shd w:val="clear" w:color="auto" w:fill="auto"/>
          </w:tcPr>
          <w:p>
            <w:pPr>
              <w:pStyle w:val="36"/>
              <w:rPr>
                <w:rFonts w:hint="default"/>
                <w:color w:val="auto"/>
                <w:lang w:val="en-US"/>
              </w:rPr>
            </w:pPr>
            <w:r>
              <w:rPr>
                <w:rFonts w:hint="eastAsia" w:ascii="Arial" w:hAnsi="Arial" w:eastAsia="Times New Roman" w:cs="Times New Roman"/>
                <w:i w:val="0"/>
                <w:color w:val="auto"/>
                <w:kern w:val="0"/>
                <w:sz w:val="18"/>
                <w:szCs w:val="20"/>
                <w:u w:val="none"/>
                <w:lang w:val="en-US" w:eastAsia="zh-CN" w:bidi="ar-SA"/>
              </w:rPr>
              <w:t>1580000</w:t>
            </w:r>
          </w:p>
        </w:tc>
        <w:tc>
          <w:tcPr>
            <w:tcW w:w="1935" w:type="dxa"/>
            <w:shd w:val="clear" w:color="auto" w:fill="auto"/>
          </w:tcPr>
          <w:p>
            <w:pPr>
              <w:pStyle w:val="36"/>
              <w:rPr>
                <w:color w:val="auto"/>
                <w:lang w:val="en-US"/>
              </w:rPr>
            </w:pPr>
            <w:r>
              <w:rPr>
                <w:rFonts w:hint="eastAsia" w:ascii="Arial" w:hAnsi="Arial" w:eastAsia="Times New Roman" w:cs="Times New Roman"/>
                <w:i w:val="0"/>
                <w:color w:val="auto"/>
                <w:kern w:val="0"/>
                <w:sz w:val="18"/>
                <w:szCs w:val="20"/>
                <w:u w:val="none"/>
                <w:lang w:val="en-US" w:eastAsia="zh-CN" w:bidi="ar-SA"/>
              </w:rPr>
              <w:t>1580000</w:t>
            </w:r>
            <w:r>
              <w:rPr>
                <w:color w:val="auto"/>
                <w:lang w:val="en-US"/>
              </w:rPr>
              <w:t xml:space="preserve"> – </w:t>
            </w:r>
            <w:r>
              <w:rPr>
                <w:rFonts w:hint="default" w:ascii="Arial" w:hAnsi="Arial" w:eastAsia="Times New Roman" w:cs="Times New Roman"/>
                <w:i w:val="0"/>
                <w:color w:val="auto"/>
                <w:kern w:val="0"/>
                <w:sz w:val="18"/>
                <w:szCs w:val="20"/>
                <w:u w:val="none"/>
                <w:lang w:val="en-US" w:eastAsia="zh-CN" w:bidi="ar"/>
              </w:rPr>
              <w:t>1746664</w:t>
            </w:r>
          </w:p>
        </w:tc>
      </w:tr>
    </w:tbl>
    <w:p>
      <w:pPr>
        <w:keepNext w:val="0"/>
        <w:keepLines w:val="0"/>
        <w:pageBreakBefore w:val="0"/>
        <w:widowControl w:val="0"/>
        <w:suppressLineNumbers w:val="0"/>
        <w:kinsoku/>
        <w:wordWrap/>
        <w:topLinePunct w:val="0"/>
        <w:bidi w:val="0"/>
        <w:snapToGrid/>
        <w:jc w:val="left"/>
        <w:rPr>
          <w:rFonts w:hint="eastAsia"/>
          <w:b w:val="0"/>
          <w:bCs w:val="0"/>
          <w:i w:val="0"/>
          <w:iCs w:val="0"/>
          <w:color w:val="auto"/>
          <w:lang w:val="en-US" w:eastAsia="zh-CN"/>
        </w:rPr>
      </w:pPr>
    </w:p>
    <w:p>
      <w:pPr>
        <w:keepNext w:val="0"/>
        <w:keepLines w:val="0"/>
        <w:pageBreakBefore w:val="0"/>
        <w:widowControl w:val="0"/>
        <w:suppressLineNumbers w:val="0"/>
        <w:kinsoku/>
        <w:wordWrap/>
        <w:topLinePunct w:val="0"/>
        <w:bidi w:val="0"/>
        <w:snapToGrid/>
        <w:jc w:val="left"/>
        <w:rPr>
          <w:rFonts w:hint="eastAsia"/>
          <w:b w:val="0"/>
          <w:bCs w:val="0"/>
          <w:i w:val="0"/>
          <w:iCs w:val="0"/>
          <w:color w:val="auto"/>
          <w:lang w:val="en-US" w:eastAsia="zh-CN"/>
        </w:rPr>
      </w:pPr>
    </w:p>
    <w:p>
      <w:pPr>
        <w:pStyle w:val="45"/>
        <w:rPr>
          <w:rFonts w:hint="default"/>
          <w:b/>
          <w:bCs/>
          <w:i w:val="0"/>
          <w:iCs w:val="0"/>
          <w:color w:val="auto"/>
          <w:lang w:val="en-US" w:eastAsia="zh-CN"/>
        </w:rPr>
      </w:pPr>
      <w:r>
        <w:rPr>
          <w:rFonts w:hint="default"/>
          <w:b/>
          <w:bCs/>
          <w:i w:val="0"/>
          <w:iCs w:val="0"/>
          <w:color w:val="auto"/>
          <w:lang w:val="en-US" w:eastAsia="zh-CN"/>
        </w:rPr>
        <w:t>Table 2.4.2. NR-ARFCN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35"/>
              <w:rPr>
                <w:rFonts w:eastAsia="Yu Mincho"/>
                <w:color w:val="auto"/>
              </w:rPr>
            </w:pPr>
            <w:r>
              <w:rPr>
                <w:color w:val="auto"/>
              </w:rPr>
              <w:t>Operating Band</w:t>
            </w:r>
          </w:p>
        </w:tc>
        <w:tc>
          <w:tcPr>
            <w:tcW w:w="1146" w:type="dxa"/>
            <w:tcBorders>
              <w:top w:val="single" w:color="auto" w:sz="4" w:space="0"/>
              <w:left w:val="single" w:color="auto" w:sz="4" w:space="0"/>
              <w:bottom w:val="single" w:color="auto" w:sz="4" w:space="0"/>
              <w:right w:val="single" w:color="auto" w:sz="4" w:space="0"/>
            </w:tcBorders>
          </w:tcPr>
          <w:p>
            <w:pPr>
              <w:pStyle w:val="35"/>
              <w:rPr>
                <w:color w:val="auto"/>
              </w:rPr>
            </w:pPr>
            <w:r>
              <w:rPr>
                <w:color w:val="auto"/>
              </w:rPr>
              <w:t>ΔF</w:t>
            </w:r>
            <w:r>
              <w:rPr>
                <w:color w:val="auto"/>
                <w:vertAlign w:val="subscript"/>
              </w:rPr>
              <w:t>Raster</w:t>
            </w:r>
          </w:p>
          <w:p>
            <w:pPr>
              <w:pStyle w:val="35"/>
              <w:rPr>
                <w:rFonts w:eastAsia="Yu Mincho"/>
                <w:color w:val="auto"/>
              </w:rPr>
            </w:pPr>
            <w:r>
              <w:rPr>
                <w:color w:val="auto"/>
              </w:rPr>
              <w:t>(kHz)</w:t>
            </w:r>
          </w:p>
        </w:tc>
        <w:tc>
          <w:tcPr>
            <w:tcW w:w="2881" w:type="dxa"/>
            <w:tcBorders>
              <w:top w:val="single" w:color="auto" w:sz="4" w:space="0"/>
              <w:left w:val="single" w:color="auto" w:sz="4" w:space="0"/>
              <w:bottom w:val="single" w:color="auto" w:sz="4" w:space="0"/>
              <w:right w:val="single" w:color="auto" w:sz="4" w:space="0"/>
            </w:tcBorders>
          </w:tcPr>
          <w:p>
            <w:pPr>
              <w:pStyle w:val="35"/>
              <w:rPr>
                <w:rFonts w:eastAsia="Yu Mincho"/>
                <w:color w:val="auto"/>
              </w:rPr>
            </w:pPr>
            <w:r>
              <w:rPr>
                <w:rFonts w:eastAsia="Yu Mincho"/>
                <w:color w:val="auto"/>
              </w:rPr>
              <w:t>Uplink and Downlink</w:t>
            </w:r>
          </w:p>
          <w:p>
            <w:pPr>
              <w:pStyle w:val="35"/>
              <w:rPr>
                <w:rFonts w:eastAsia="Yu Mincho"/>
                <w:color w:val="auto"/>
              </w:rPr>
            </w:pPr>
            <w:r>
              <w:rPr>
                <w:rFonts w:eastAsia="Yu Mincho"/>
                <w:color w:val="auto"/>
              </w:rPr>
              <w:t>Range of N</w:t>
            </w:r>
            <w:r>
              <w:rPr>
                <w:rFonts w:eastAsia="Yu Mincho"/>
                <w:color w:val="auto"/>
                <w:vertAlign w:val="subscript"/>
              </w:rPr>
              <w:t>REF</w:t>
            </w:r>
          </w:p>
          <w:p>
            <w:pPr>
              <w:pStyle w:val="35"/>
              <w:rPr>
                <w:rFonts w:eastAsia="Yu Mincho"/>
                <w:color w:val="auto"/>
              </w:rPr>
            </w:pPr>
            <w:r>
              <w:rPr>
                <w:rFonts w:eastAsia="Yu Mincho"/>
                <w:color w:val="aut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nil"/>
              <w:right w:val="nil"/>
            </w:tcBorders>
            <w:shd w:val="clear" w:color="auto" w:fill="auto"/>
          </w:tcPr>
          <w:p>
            <w:pPr>
              <w:pStyle w:val="36"/>
              <w:rPr>
                <w:rFonts w:hint="default" w:eastAsia="宋体"/>
                <w:color w:val="auto"/>
                <w:lang w:val="en-US" w:eastAsia="zh-CN"/>
              </w:rPr>
            </w:pPr>
            <w:r>
              <w:rPr>
                <w:rFonts w:hint="eastAsia" w:eastAsia="宋体"/>
                <w:color w:val="auto"/>
                <w:lang w:val="en-US" w:eastAsia="zh-CN"/>
              </w:rPr>
              <w:t>[n512]</w:t>
            </w:r>
          </w:p>
        </w:tc>
        <w:tc>
          <w:tcPr>
            <w:tcW w:w="1146" w:type="dxa"/>
            <w:tcBorders>
              <w:top w:val="single" w:color="auto" w:sz="4" w:space="0"/>
              <w:left w:val="nil"/>
              <w:bottom w:val="nil"/>
              <w:right w:val="nil"/>
            </w:tcBorders>
          </w:tcPr>
          <w:p>
            <w:pPr>
              <w:pStyle w:val="36"/>
              <w:rPr>
                <w:rFonts w:eastAsia="Yu Mincho"/>
                <w:color w:val="auto"/>
                <w:lang w:eastAsia="ja-JP"/>
              </w:rPr>
            </w:pPr>
            <w:r>
              <w:rPr>
                <w:rFonts w:eastAsia="Yu Mincho"/>
                <w:color w:val="auto"/>
                <w:lang w:eastAsia="ja-JP"/>
              </w:rPr>
              <w:t>60</w:t>
            </w:r>
          </w:p>
        </w:tc>
        <w:tc>
          <w:tcPr>
            <w:tcW w:w="2881" w:type="dxa"/>
            <w:tcBorders>
              <w:top w:val="single" w:color="auto" w:sz="4" w:space="0"/>
              <w:left w:val="nil"/>
              <w:bottom w:val="nil"/>
              <w:right w:val="single" w:color="auto" w:sz="4" w:space="0"/>
            </w:tcBorders>
          </w:tcPr>
          <w:p>
            <w:pPr>
              <w:pStyle w:val="36"/>
              <w:rPr>
                <w:rFonts w:eastAsia="Yu Mincho"/>
                <w:color w:val="auto"/>
                <w:lang w:eastAsia="ja-JP"/>
              </w:rPr>
            </w:pPr>
            <w:r>
              <w:rPr>
                <w:rFonts w:hint="eastAsia" w:ascii="Arial" w:hAnsi="Arial" w:eastAsia="Times New Roman" w:cs="Times New Roman"/>
                <w:i w:val="0"/>
                <w:color w:val="auto"/>
                <w:kern w:val="0"/>
                <w:sz w:val="18"/>
                <w:szCs w:val="20"/>
                <w:u w:val="none"/>
                <w:lang w:val="en-US" w:eastAsia="zh-CN" w:bidi="ar-SA"/>
              </w:rPr>
              <w:t>1580000</w:t>
            </w:r>
            <w:r>
              <w:rPr>
                <w:color w:val="auto"/>
                <w:lang w:val="en-US"/>
              </w:rPr>
              <w:t xml:space="preserve"> </w:t>
            </w:r>
            <w:r>
              <w:rPr>
                <w:rFonts w:eastAsia="Yu Mincho"/>
                <w:color w:val="auto"/>
                <w:lang w:eastAsia="ja-JP"/>
              </w:rPr>
              <w:t xml:space="preserve"> – &lt;</w:t>
            </w:r>
            <w:r>
              <w:rPr>
                <w:rFonts w:hint="eastAsia" w:eastAsia="宋体"/>
                <w:color w:val="auto"/>
                <w:lang w:val="en-US" w:eastAsia="zh-CN"/>
              </w:rPr>
              <w:t>4</w:t>
            </w:r>
            <w:r>
              <w:rPr>
                <w:rFonts w:eastAsia="Yu Mincho"/>
                <w:color w:val="auto"/>
                <w:lang w:eastAsia="ja-JP"/>
              </w:rPr>
              <w:t xml:space="preserve">&gt; – </w:t>
            </w:r>
            <w:r>
              <w:rPr>
                <w:rFonts w:hint="eastAsia" w:eastAsia="宋体"/>
                <w:color w:val="auto"/>
                <w:lang w:val="en-US" w:eastAsia="zh-CN"/>
              </w:rPr>
              <w:t>1</w:t>
            </w:r>
            <w:r>
              <w:rPr>
                <w:rFonts w:hint="default" w:ascii="Arial" w:hAnsi="Arial" w:eastAsia="Times New Roman" w:cs="Times New Roman"/>
                <w:i w:val="0"/>
                <w:color w:val="auto"/>
                <w:kern w:val="0"/>
                <w:sz w:val="18"/>
                <w:szCs w:val="20"/>
                <w:u w:val="none"/>
                <w:lang w:val="en-US" w:eastAsia="zh-CN" w:bidi="ar"/>
              </w:rPr>
              <w:t>746664</w:t>
            </w:r>
            <w:r>
              <w:rPr>
                <w:rFonts w:eastAsia="Yu Mincho"/>
                <w:color w:val="aut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single" w:color="auto" w:sz="4" w:space="0"/>
              <w:right w:val="nil"/>
            </w:tcBorders>
            <w:shd w:val="clear" w:color="auto" w:fill="auto"/>
          </w:tcPr>
          <w:p>
            <w:pPr>
              <w:pStyle w:val="36"/>
              <w:rPr>
                <w:color w:val="auto"/>
                <w:lang w:eastAsia="ja-JP"/>
              </w:rPr>
            </w:pPr>
          </w:p>
        </w:tc>
        <w:tc>
          <w:tcPr>
            <w:tcW w:w="1146" w:type="dxa"/>
            <w:tcBorders>
              <w:top w:val="nil"/>
              <w:left w:val="nil"/>
              <w:bottom w:val="single" w:color="auto" w:sz="4" w:space="0"/>
              <w:right w:val="nil"/>
            </w:tcBorders>
          </w:tcPr>
          <w:p>
            <w:pPr>
              <w:pStyle w:val="36"/>
              <w:rPr>
                <w:rFonts w:eastAsia="Yu Mincho"/>
                <w:color w:val="auto"/>
                <w:lang w:eastAsia="ja-JP"/>
              </w:rPr>
            </w:pPr>
            <w:r>
              <w:rPr>
                <w:color w:val="auto"/>
              </w:rPr>
              <w:t>120</w:t>
            </w:r>
          </w:p>
        </w:tc>
        <w:tc>
          <w:tcPr>
            <w:tcW w:w="2881" w:type="dxa"/>
            <w:tcBorders>
              <w:top w:val="nil"/>
              <w:left w:val="nil"/>
              <w:bottom w:val="single" w:color="auto" w:sz="4" w:space="0"/>
              <w:right w:val="single" w:color="auto" w:sz="4" w:space="0"/>
            </w:tcBorders>
          </w:tcPr>
          <w:p>
            <w:pPr>
              <w:pStyle w:val="36"/>
              <w:rPr>
                <w:color w:val="auto"/>
                <w:lang w:eastAsia="ja-JP"/>
              </w:rPr>
            </w:pPr>
            <w:r>
              <w:rPr>
                <w:rFonts w:hint="eastAsia" w:ascii="Arial" w:hAnsi="Arial" w:eastAsia="Times New Roman" w:cs="Times New Roman"/>
                <w:i w:val="0"/>
                <w:color w:val="auto"/>
                <w:kern w:val="0"/>
                <w:sz w:val="18"/>
                <w:szCs w:val="20"/>
                <w:u w:val="none"/>
                <w:lang w:val="en-US" w:eastAsia="zh-CN" w:bidi="ar-SA"/>
              </w:rPr>
              <w:t>1580000</w:t>
            </w:r>
            <w:r>
              <w:rPr>
                <w:color w:val="auto"/>
                <w:lang w:val="en-US"/>
              </w:rPr>
              <w:t xml:space="preserve"> </w:t>
            </w:r>
            <w:r>
              <w:rPr>
                <w:rFonts w:eastAsia="Yu Mincho"/>
                <w:color w:val="auto"/>
                <w:lang w:eastAsia="ja-JP"/>
              </w:rPr>
              <w:t xml:space="preserve"> </w:t>
            </w:r>
            <w:r>
              <w:rPr>
                <w:color w:val="auto"/>
              </w:rPr>
              <w:t>– &lt;</w:t>
            </w:r>
            <w:r>
              <w:rPr>
                <w:rFonts w:hint="eastAsia" w:eastAsia="宋体"/>
                <w:color w:val="auto"/>
                <w:lang w:val="en-US" w:eastAsia="zh-CN"/>
              </w:rPr>
              <w:t>8</w:t>
            </w:r>
            <w:r>
              <w:rPr>
                <w:color w:val="auto"/>
              </w:rPr>
              <w:t xml:space="preserve">&gt; – </w:t>
            </w:r>
            <w:r>
              <w:rPr>
                <w:rFonts w:hint="default" w:ascii="Arial" w:hAnsi="Arial" w:eastAsia="Times New Roman" w:cs="Times New Roman"/>
                <w:i w:val="0"/>
                <w:color w:val="auto"/>
                <w:kern w:val="0"/>
                <w:sz w:val="18"/>
                <w:szCs w:val="20"/>
                <w:u w:val="none"/>
                <w:lang w:val="en-US" w:eastAsia="zh-CN" w:bidi="ar"/>
              </w:rPr>
              <w:t>1746664</w:t>
            </w:r>
            <w:r>
              <w:rPr>
                <w:rFonts w:eastAsia="Yu Mincho"/>
                <w:color w:val="auto"/>
                <w:lang w:eastAsia="ja-JP"/>
              </w:rPr>
              <w:t xml:space="preserve"> </w:t>
            </w:r>
          </w:p>
        </w:tc>
      </w:tr>
    </w:tbl>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pStyle w:val="35"/>
        <w:jc w:val="both"/>
        <w:rPr>
          <w:rFonts w:hint="default" w:ascii="Times New Roman" w:hAnsi="Times New Roman" w:eastAsia="宋体"/>
          <w:b w:val="0"/>
          <w:bCs w:val="0"/>
          <w:i w:val="0"/>
          <w:iCs w:val="0"/>
          <w:kern w:val="2"/>
          <w:sz w:val="21"/>
          <w:szCs w:val="22"/>
          <w:lang w:val="en-US" w:eastAsia="zh-CN"/>
        </w:rPr>
      </w:pPr>
      <w:r>
        <w:rPr>
          <w:rFonts w:hint="eastAsia" w:ascii="Times New Roman" w:hAnsi="Times New Roman" w:eastAsia="宋体"/>
          <w:b w:val="0"/>
          <w:bCs w:val="0"/>
          <w:i w:val="0"/>
          <w:iCs w:val="0"/>
          <w:kern w:val="2"/>
          <w:sz w:val="21"/>
          <w:szCs w:val="22"/>
          <w:lang w:val="en-US" w:eastAsia="zh-CN"/>
        </w:rPr>
        <w:t>Similar as NR-ARFCN, it should be noted that range of GSCN should fall into 3GHz to 24.25GHz instead of 24.25-52.6GHz. Therefore sync raster should be still 1.44MHz while with step size as 12 (17.28MHz) and 24 (34.56MHz) for 120kHz and 240kHz SSB.</w:t>
      </w:r>
    </w:p>
    <w:p>
      <w:pPr>
        <w:pStyle w:val="45"/>
        <w:rPr>
          <w:rFonts w:hint="eastAsia"/>
          <w:b/>
          <w:bCs/>
          <w:i w:val="0"/>
          <w:iCs w:val="0"/>
          <w:color w:val="auto"/>
          <w:u w:val="none"/>
          <w:lang w:val="en-US" w:eastAsia="zh-CN"/>
        </w:rPr>
      </w:pPr>
      <w:r>
        <w:rPr>
          <w:color w:val="auto"/>
        </w:rPr>
        <w:t xml:space="preserve">Table </w:t>
      </w:r>
      <w:r>
        <w:rPr>
          <w:rFonts w:hint="eastAsia"/>
          <w:color w:val="auto"/>
          <w:lang w:val="en-US" w:eastAsia="zh-CN"/>
        </w:rPr>
        <w:t>2</w:t>
      </w:r>
      <w:r>
        <w:rPr>
          <w:color w:val="auto"/>
        </w:rPr>
        <w:t>.</w:t>
      </w:r>
      <w:r>
        <w:rPr>
          <w:rFonts w:hint="eastAsia"/>
          <w:color w:val="auto"/>
          <w:lang w:val="en-US" w:eastAsia="zh-CN"/>
        </w:rPr>
        <w:t>3</w:t>
      </w:r>
      <w:r>
        <w:rPr>
          <w:color w:val="auto"/>
        </w:rPr>
        <w:t>-</w:t>
      </w:r>
      <w:r>
        <w:rPr>
          <w:rFonts w:hint="eastAsia"/>
          <w:color w:val="auto"/>
          <w:lang w:val="en-US" w:eastAsia="zh-CN"/>
        </w:rPr>
        <w:t>3</w:t>
      </w:r>
      <w:r>
        <w:rPr>
          <w:color w:val="auto"/>
        </w:rPr>
        <w:t xml:space="preserve">: </w:t>
      </w:r>
      <w:r>
        <w:rPr>
          <w:rFonts w:eastAsia="Yu Mincho"/>
          <w:color w:val="auto"/>
        </w:rPr>
        <w:t>GSCN parameters for the global frequency raster</w:t>
      </w: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36"/>
              <w:rPr>
                <w:b/>
                <w:color w:val="auto"/>
              </w:rPr>
            </w:pPr>
            <w:r>
              <w:rPr>
                <w:color w:val="auto"/>
              </w:rPr>
              <w:t>3000 – 24250 MHz</w:t>
            </w:r>
          </w:p>
        </w:tc>
        <w:tc>
          <w:tcPr>
            <w:tcW w:w="3534" w:type="dxa"/>
            <w:shd w:val="clear" w:color="auto" w:fill="auto"/>
          </w:tcPr>
          <w:p>
            <w:pPr>
              <w:pStyle w:val="36"/>
              <w:rPr>
                <w:color w:val="auto"/>
              </w:rPr>
            </w:pPr>
            <w:r>
              <w:rPr>
                <w:color w:val="auto"/>
              </w:rPr>
              <w:t>3000 MHz + N * 1.44 MHz</w:t>
            </w:r>
          </w:p>
          <w:p>
            <w:pPr>
              <w:pStyle w:val="36"/>
              <w:rPr>
                <w:b/>
                <w:color w:val="auto"/>
              </w:rPr>
            </w:pPr>
            <w:r>
              <w:rPr>
                <w:color w:val="auto"/>
              </w:rPr>
              <w:t>N = 0:14756</w:t>
            </w:r>
          </w:p>
        </w:tc>
        <w:tc>
          <w:tcPr>
            <w:tcW w:w="1927" w:type="dxa"/>
          </w:tcPr>
          <w:p>
            <w:pPr>
              <w:pStyle w:val="36"/>
              <w:rPr>
                <w:color w:val="auto"/>
              </w:rPr>
            </w:pPr>
            <w:r>
              <w:rPr>
                <w:color w:val="auto"/>
              </w:rPr>
              <w:t>7499 + N</w:t>
            </w:r>
          </w:p>
        </w:tc>
        <w:tc>
          <w:tcPr>
            <w:tcW w:w="1995" w:type="dxa"/>
            <w:shd w:val="clear" w:color="auto" w:fill="auto"/>
          </w:tcPr>
          <w:p>
            <w:pPr>
              <w:pStyle w:val="36"/>
              <w:rPr>
                <w:b/>
                <w:color w:val="auto"/>
              </w:rPr>
            </w:pPr>
            <w:r>
              <w:rPr>
                <w:color w:val="auto"/>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48"/>
              <w:rPr>
                <w:color w:val="auto"/>
              </w:rPr>
            </w:pPr>
            <w:r>
              <w:rPr>
                <w:color w:val="auto"/>
              </w:rPr>
              <w:t>NOTE 1:</w:t>
            </w:r>
            <w:r>
              <w:rPr>
                <w:color w:val="auto"/>
              </w:rPr>
              <w:tab/>
            </w:r>
            <w:r>
              <w:rPr>
                <w:color w:val="auto"/>
              </w:rPr>
              <w:t xml:space="preserve">The default value for operating bands with </w:t>
            </w:r>
            <w:r>
              <w:rPr>
                <w:rFonts w:hint="eastAsia"/>
                <w:color w:val="auto"/>
                <w:lang w:eastAsia="zh-CN"/>
              </w:rPr>
              <w:t>which only support</w:t>
            </w:r>
            <w:r>
              <w:rPr>
                <w:rFonts w:hint="eastAsia"/>
                <w:color w:val="auto"/>
              </w:rPr>
              <w:t xml:space="preserve"> </w:t>
            </w:r>
            <w:r>
              <w:rPr>
                <w:color w:val="auto"/>
              </w:rPr>
              <w:t>SCS spaced channel raster(s) is M=3.</w:t>
            </w:r>
          </w:p>
        </w:tc>
      </w:tr>
    </w:tbl>
    <w:p>
      <w:pPr>
        <w:keepNext/>
        <w:keepLines/>
        <w:pageBreakBefore w:val="0"/>
        <w:widowControl/>
        <w:suppressLineNumbers w:val="0"/>
        <w:kinsoku/>
        <w:wordWrap/>
        <w:topLinePunct w:val="0"/>
        <w:bidi w:val="0"/>
        <w:ind w:firstLine="0" w:firstLineChars="0"/>
        <w:jc w:val="both"/>
        <w:rPr>
          <w:rFonts w:hint="eastAsia"/>
          <w:b/>
          <w:bCs/>
          <w:i w:val="0"/>
          <w:iCs w:val="0"/>
          <w:color w:val="auto"/>
          <w:u w:val="none"/>
          <w:lang w:val="en-US" w:eastAsia="zh-CN"/>
        </w:rPr>
      </w:pP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36"/>
              <w:rPr>
                <w:b/>
                <w:color w:val="auto"/>
              </w:rPr>
            </w:pPr>
            <w:r>
              <w:rPr>
                <w:rFonts w:hint="eastAsia" w:cs="Arial"/>
                <w:color w:val="auto"/>
                <w:lang w:val="en-US" w:eastAsia="zh-CN"/>
              </w:rPr>
              <w:t>17700</w:t>
            </w:r>
            <w:r>
              <w:rPr>
                <w:color w:val="auto"/>
                <w:lang w:val="en-US"/>
              </w:rPr>
              <w:t xml:space="preserve"> – </w:t>
            </w:r>
            <w:r>
              <w:rPr>
                <w:rFonts w:hint="eastAsia" w:cs="Arial"/>
                <w:color w:val="auto"/>
                <w:lang w:val="en-US" w:eastAsia="zh-CN"/>
              </w:rPr>
              <w:t>20200</w:t>
            </w:r>
            <w:r>
              <w:rPr>
                <w:color w:val="auto"/>
              </w:rPr>
              <w:t xml:space="preserve"> MHz</w:t>
            </w:r>
          </w:p>
        </w:tc>
        <w:tc>
          <w:tcPr>
            <w:tcW w:w="3534" w:type="dxa"/>
            <w:shd w:val="clear" w:color="auto" w:fill="auto"/>
          </w:tcPr>
          <w:p>
            <w:pPr>
              <w:pStyle w:val="36"/>
              <w:rPr>
                <w:color w:val="auto"/>
              </w:rPr>
            </w:pPr>
            <w:r>
              <w:rPr>
                <w:rFonts w:hint="eastAsia" w:eastAsia="宋体" w:cs="Times New Roman"/>
                <w:i w:val="0"/>
                <w:color w:val="auto"/>
                <w:kern w:val="0"/>
                <w:sz w:val="18"/>
                <w:szCs w:val="20"/>
                <w:u w:val="none"/>
                <w:lang w:val="en-US" w:eastAsia="zh-CN" w:bidi="ar-SA"/>
              </w:rPr>
              <w:t>3000MHz</w:t>
            </w:r>
            <w:r>
              <w:rPr>
                <w:color w:val="auto"/>
              </w:rPr>
              <w:t xml:space="preserve"> MHz + N *</w:t>
            </w:r>
            <w:r>
              <w:rPr>
                <w:rFonts w:hint="eastAsia" w:eastAsia="宋体"/>
                <w:color w:val="auto"/>
                <w:lang w:val="en-US" w:eastAsia="zh-CN"/>
              </w:rPr>
              <w:t>1.44</w:t>
            </w:r>
            <w:r>
              <w:rPr>
                <w:color w:val="auto"/>
              </w:rPr>
              <w:t xml:space="preserve"> MHz</w:t>
            </w:r>
          </w:p>
          <w:p>
            <w:pPr>
              <w:pStyle w:val="36"/>
              <w:rPr>
                <w:b/>
                <w:color w:val="auto"/>
              </w:rPr>
            </w:pPr>
            <w:r>
              <w:rPr>
                <w:rFonts w:hint="eastAsia" w:eastAsia="宋体"/>
                <w:color w:val="auto"/>
                <w:u w:val="none"/>
                <w:lang w:val="en-US" w:eastAsia="zh-CN"/>
              </w:rPr>
              <w:t xml:space="preserve">N = </w:t>
            </w:r>
            <w:r>
              <w:rPr>
                <w:rFonts w:hint="eastAsia" w:ascii="Arial" w:hAnsi="Arial" w:eastAsia="宋体" w:cs="Times New Roman"/>
                <w:i w:val="0"/>
                <w:color w:val="auto"/>
                <w:kern w:val="0"/>
                <w:sz w:val="18"/>
                <w:szCs w:val="20"/>
                <w:u w:val="none"/>
                <w:lang w:val="en-US" w:eastAsia="zh-CN" w:bidi="ar"/>
              </w:rPr>
              <w:t>10209:11944</w:t>
            </w:r>
          </w:p>
        </w:tc>
        <w:tc>
          <w:tcPr>
            <w:tcW w:w="1927" w:type="dxa"/>
          </w:tcPr>
          <w:p>
            <w:pPr>
              <w:pStyle w:val="36"/>
              <w:rPr>
                <w:color w:val="auto"/>
              </w:rPr>
            </w:pPr>
            <w:r>
              <w:rPr>
                <w:color w:val="auto"/>
              </w:rPr>
              <w:t>7499 + N</w:t>
            </w:r>
          </w:p>
        </w:tc>
        <w:tc>
          <w:tcPr>
            <w:tcW w:w="1995" w:type="dxa"/>
            <w:shd w:val="clear" w:color="auto" w:fill="auto"/>
          </w:tcPr>
          <w:p>
            <w:pPr>
              <w:pStyle w:val="36"/>
              <w:rPr>
                <w:b/>
                <w:color w:val="auto"/>
              </w:rPr>
            </w:pPr>
            <w:r>
              <w:rPr>
                <w:rFonts w:hint="eastAsia"/>
                <w:color w:val="auto"/>
                <w:lang w:val="en-US" w:eastAsia="zh-CN"/>
              </w:rPr>
              <w:t>17708</w:t>
            </w:r>
            <w:r>
              <w:rPr>
                <w:color w:val="auto"/>
              </w:rPr>
              <w:t xml:space="preserve"> – </w:t>
            </w:r>
            <w:r>
              <w:rPr>
                <w:rFonts w:hint="default"/>
                <w:color w:val="auto"/>
                <w:lang w:val="en-US" w:eastAsia="zh-CN"/>
              </w:rPr>
              <w:t>19443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48"/>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tc>
      </w:tr>
    </w:tbl>
    <w:p>
      <w:pPr>
        <w:pStyle w:val="45"/>
        <w:rPr>
          <w:rFonts w:hint="default"/>
          <w:b/>
          <w:bCs/>
          <w:i w:val="0"/>
          <w:iCs w:val="0"/>
          <w:lang w:val="en-US" w:eastAsia="zh-CN"/>
        </w:rPr>
      </w:pPr>
    </w:p>
    <w:p>
      <w:pPr>
        <w:pStyle w:val="45"/>
        <w:rPr>
          <w:rFonts w:hint="default"/>
          <w:b/>
          <w:bCs/>
          <w:i w:val="0"/>
          <w:iCs w:val="0"/>
          <w:u w:val="none"/>
          <w:lang w:val="en-US" w:eastAsia="zh-CN"/>
        </w:rPr>
      </w:pPr>
      <w:r>
        <w:rPr>
          <w:rFonts w:hint="default"/>
          <w:b/>
          <w:bCs/>
          <w:i w:val="0"/>
          <w:iCs w:val="0"/>
          <w:lang w:val="en-US" w:eastAsia="zh-CN"/>
        </w:rPr>
        <w:t>Table 2.</w:t>
      </w:r>
      <w:r>
        <w:rPr>
          <w:rFonts w:hint="eastAsia"/>
          <w:b/>
          <w:bCs/>
          <w:i w:val="0"/>
          <w:iCs w:val="0"/>
          <w:lang w:val="en-US" w:eastAsia="zh-CN"/>
        </w:rPr>
        <w:t>3</w:t>
      </w:r>
      <w:r>
        <w:rPr>
          <w:rFonts w:hint="default"/>
          <w:b/>
          <w:bCs/>
          <w:i w:val="0"/>
          <w:iCs w:val="0"/>
          <w:lang w:val="en-US" w:eastAsia="zh-CN"/>
        </w:rPr>
        <w:t>.4. GSCN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441"/>
        <w:gridCol w:w="239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NR Operating Band</w:t>
            </w:r>
          </w:p>
        </w:tc>
        <w:tc>
          <w:tcPr>
            <w:tcW w:w="2441" w:type="dxa"/>
            <w:tcBorders>
              <w:top w:val="single" w:color="auto" w:sz="4" w:space="0"/>
              <w:left w:val="single" w:color="auto" w:sz="4" w:space="0"/>
              <w:bottom w:val="single" w:color="auto" w:sz="4" w:space="0"/>
              <w:right w:val="single" w:color="auto" w:sz="4" w:space="0"/>
            </w:tcBorders>
          </w:tcPr>
          <w:p>
            <w:pPr>
              <w:pStyle w:val="35"/>
              <w:rPr>
                <w:rFonts w:eastAsia="Yu Mincho"/>
                <w:lang w:eastAsia="ja-JP"/>
              </w:rPr>
            </w:pPr>
            <w:r>
              <w:rPr>
                <w:rFonts w:eastAsia="Yu Mincho"/>
              </w:rPr>
              <w:t>SS Block SCS</w:t>
            </w:r>
          </w:p>
        </w:tc>
        <w:tc>
          <w:tcPr>
            <w:tcW w:w="2395"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SS Block pattern</w:t>
            </w:r>
            <w:r>
              <w:rPr>
                <w:rFonts w:eastAsia="Yu Mincho"/>
                <w:vertAlign w:val="superscript"/>
              </w:rPr>
              <w:t>1</w:t>
            </w:r>
          </w:p>
        </w:tc>
        <w:tc>
          <w:tcPr>
            <w:tcW w:w="2720"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rPr>
            </w:pPr>
            <w:r>
              <w:rPr>
                <w:rFonts w:eastAsia="Yu Mincho"/>
              </w:rPr>
              <w:t>Range of GSCN</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3" w:type="dxa"/>
            <w:tcBorders>
              <w:top w:val="single" w:color="auto" w:sz="4" w:space="0"/>
              <w:left w:val="single" w:color="auto" w:sz="4" w:space="0"/>
              <w:bottom w:val="nil"/>
              <w:right w:val="single" w:color="auto" w:sz="4" w:space="0"/>
            </w:tcBorders>
            <w:shd w:val="clear" w:color="auto" w:fill="auto"/>
            <w:vAlign w:val="center"/>
          </w:tcPr>
          <w:p>
            <w:pPr>
              <w:pStyle w:val="36"/>
              <w:rPr>
                <w:rFonts w:hint="eastAsia" w:eastAsia="宋体"/>
                <w:lang w:val="en-US" w:eastAsia="zh-CN"/>
              </w:rPr>
            </w:pPr>
            <w:r>
              <w:rPr>
                <w:rFonts w:hint="eastAsia" w:eastAsia="宋体"/>
                <w:lang w:val="en-US" w:eastAsia="zh-CN"/>
              </w:rPr>
              <w:t>[</w:t>
            </w:r>
            <w:r>
              <w:t>n</w:t>
            </w:r>
            <w:r>
              <w:rPr>
                <w:rFonts w:hint="eastAsia" w:eastAsia="宋体"/>
                <w:lang w:val="en-US" w:eastAsia="zh-CN"/>
              </w:rPr>
              <w:t>512]</w:t>
            </w: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120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D</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lang w:val="en-US" w:eastAsia="zh-CN"/>
              </w:rPr>
            </w:pPr>
            <w:r>
              <w:rPr>
                <w:rFonts w:hint="eastAsia"/>
                <w:lang w:val="en-US" w:eastAsia="zh-CN"/>
              </w:rPr>
              <w:t>17724</w:t>
            </w:r>
            <w:r>
              <w:t>- &lt;</w:t>
            </w:r>
            <w:r>
              <w:rPr>
                <w:rFonts w:hint="eastAsia"/>
                <w:lang w:val="en-US" w:eastAsia="zh-CN"/>
              </w:rPr>
              <w:t>12</w:t>
            </w:r>
            <w:r>
              <w:t xml:space="preserve">&gt; - </w:t>
            </w:r>
            <w:r>
              <w:rPr>
                <w:rFonts w:hint="eastAsia"/>
                <w:lang w:val="en-US" w:eastAsia="zh-CN"/>
              </w:rPr>
              <w:t>19428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nil"/>
              <w:left w:val="single" w:color="auto" w:sz="4" w:space="0"/>
              <w:bottom w:val="single" w:color="auto" w:sz="4" w:space="0"/>
              <w:right w:val="single" w:color="auto" w:sz="4" w:space="0"/>
            </w:tcBorders>
            <w:shd w:val="clear" w:color="auto" w:fill="auto"/>
            <w:vAlign w:val="center"/>
          </w:tcPr>
          <w:p>
            <w:pPr>
              <w:pStyle w:val="36"/>
              <w:rPr>
                <w:rFonts w:eastAsia="Yu Mincho"/>
              </w:rPr>
            </w:pP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240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E</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lang w:val="en-US" w:eastAsia="zh-CN"/>
              </w:rPr>
            </w:pPr>
            <w:r>
              <w:rPr>
                <w:rFonts w:hint="eastAsia"/>
                <w:lang w:val="en-US" w:eastAsia="zh-CN"/>
              </w:rPr>
              <w:t>17736</w:t>
            </w:r>
            <w:r>
              <w:t xml:space="preserve"> - &lt;</w:t>
            </w:r>
            <w:r>
              <w:rPr>
                <w:rFonts w:hint="eastAsia"/>
                <w:lang w:val="en-US" w:eastAsia="zh-CN"/>
              </w:rPr>
              <w:t>24</w:t>
            </w:r>
            <w:r>
              <w:t xml:space="preserve">&gt; - </w:t>
            </w:r>
            <w:r>
              <w:rPr>
                <w:rFonts w:hint="eastAsia"/>
                <w:lang w:val="en-US" w:eastAsia="zh-CN"/>
              </w:rPr>
              <w:t>19416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left w:val="single" w:color="auto" w:sz="4" w:space="0"/>
              <w:bottom w:val="single" w:color="auto" w:sz="4" w:space="0"/>
              <w:right w:val="single" w:color="auto" w:sz="4" w:space="0"/>
            </w:tcBorders>
          </w:tcPr>
          <w:p>
            <w:pPr>
              <w:pStyle w:val="48"/>
            </w:pPr>
            <w:r>
              <w:t>NOTE 1:</w:t>
            </w:r>
            <w:r>
              <w:tab/>
            </w:r>
            <w:r>
              <w:t>SS Block pattern is defined in clause 4.1 in TS 38.213 [10].</w:t>
            </w:r>
          </w:p>
          <w:p>
            <w:pPr>
              <w:pStyle w:val="48"/>
              <w:ind w:left="0" w:firstLine="0"/>
              <w:rPr>
                <w:lang w:eastAsia="zh-CN"/>
              </w:rPr>
            </w:pPr>
            <w:r>
              <w:rPr>
                <w:rFonts w:hint="eastAsia"/>
                <w:lang w:eastAsia="zh-CN"/>
              </w:rPr>
              <w:t>N</w:t>
            </w:r>
            <w:r>
              <w:rPr>
                <w:lang w:eastAsia="zh-CN"/>
              </w:rPr>
              <w:t xml:space="preserve">OTE 2: </w:t>
            </w:r>
            <w:r>
              <w:rPr>
                <w:rFonts w:hint="eastAsia"/>
                <w:lang w:val="en-US" w:eastAsia="zh-CN"/>
              </w:rPr>
              <w:t xml:space="preserve"> Step size 12 equal to 17.28MHz by 1.44MHz*12 and step size 24 equals to 34.56MHz by 1.44MHz*24.</w:t>
            </w:r>
          </w:p>
        </w:tc>
      </w:tr>
      <w:bookmarkEnd w:id="24"/>
    </w:tbl>
    <w:p>
      <w:pPr>
        <w:spacing w:before="120" w:beforeLines="0" w:after="120" w:afterLines="0"/>
        <w:ind w:firstLine="0" w:firstLineChars="0"/>
        <w:jc w:val="left"/>
        <w:rPr>
          <w:rFonts w:hint="eastAsia" w:eastAsia="Times New Roman" w:cs="Times New Roman"/>
          <w:kern w:val="0"/>
          <w:sz w:val="20"/>
          <w:szCs w:val="20"/>
          <w:highlight w:val="none"/>
          <w:lang w:val="en-US" w:eastAsia="zh-CN" w:bidi="ar-SA"/>
        </w:rPr>
      </w:pPr>
      <w:r>
        <w:rPr>
          <w:rFonts w:hint="eastAsia"/>
          <w:b/>
          <w:bCs/>
          <w:i w:val="0"/>
          <w:iCs w:val="0"/>
          <w:lang w:val="en-US" w:eastAsia="zh-CN"/>
        </w:rPr>
        <w:t>Proposal 4:</w:t>
      </w:r>
      <w:r>
        <w:rPr>
          <w:rFonts w:hint="eastAsia"/>
          <w:b w:val="0"/>
          <w:bCs w:val="0"/>
          <w:i w:val="0"/>
          <w:iCs w:val="0"/>
          <w:lang w:val="en-US" w:eastAsia="zh-CN"/>
        </w:rPr>
        <w:t xml:space="preserve"> to use following GSCN in the Table 2.3-3/2.3-4 for NTN Ka-band MSS-band.</w:t>
      </w:r>
    </w:p>
    <w:p>
      <w:pPr>
        <w:pStyle w:val="35"/>
        <w:jc w:val="both"/>
        <w:rPr>
          <w:rFonts w:hint="default" w:ascii="Times New Roman" w:hAnsi="Times New Roman" w:eastAsia="宋体"/>
          <w:b w:val="0"/>
          <w:bCs w:val="0"/>
          <w:i w:val="0"/>
          <w:iCs w:val="0"/>
          <w:kern w:val="2"/>
          <w:sz w:val="21"/>
          <w:szCs w:val="22"/>
          <w:lang w:val="en-US" w:eastAsia="zh-CN"/>
        </w:rPr>
      </w:pPr>
      <w:r>
        <w:rPr>
          <w:rFonts w:hint="eastAsia" w:ascii="Times New Roman" w:hAnsi="Times New Roman" w:eastAsia="宋体"/>
          <w:b w:val="0"/>
          <w:bCs w:val="0"/>
          <w:i w:val="0"/>
          <w:iCs w:val="0"/>
          <w:kern w:val="2"/>
          <w:sz w:val="21"/>
          <w:szCs w:val="22"/>
          <w:lang w:val="en-US" w:eastAsia="zh-CN"/>
        </w:rPr>
        <w:t>In addition, it should be noted that NTN Ka-band is not belonging to any FR1 or FR2 definition. From our understanding, if we want to apply SSB block pattern D and SSB pattern E for NTN Ka-band, some updates in TS 38.213 is needed at least.</w:t>
      </w:r>
    </w:p>
    <w:p>
      <w:pPr>
        <w:spacing w:before="120" w:beforeLines="0" w:after="120" w:afterLines="0"/>
        <w:ind w:firstLine="0" w:firstLineChar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In addition, </w:t>
      </w:r>
    </w:p>
    <w:p>
      <w:pPr>
        <w:pStyle w:val="50"/>
        <w:rPr>
          <w:lang w:eastAsia="ja-JP"/>
        </w:rPr>
      </w:pPr>
      <w:r>
        <w:rPr>
          <w:lang w:eastAsia="ja-JP"/>
        </w:rPr>
        <w:t>-</w:t>
      </w:r>
      <w:r>
        <w:rPr>
          <w:lang w:eastAsia="ja-JP"/>
        </w:rPr>
        <w:tab/>
      </w:r>
      <w:r>
        <w:rPr>
          <w:lang w:eastAsia="ja-JP"/>
        </w:rPr>
        <w:t xml:space="preserve">Case D - 120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ctrlPr>
              <w:rPr>
                <w:rFonts w:ascii="Cambria Math" w:hAnsi="Cambria Math"/>
                <w:i/>
                <w:lang w:eastAsia="ja-JP"/>
              </w:rPr>
            </m:ctrlPr>
          </m:e>
        </m:d>
        <m:r>
          <w:rPr>
            <w:rFonts w:ascii="Cambria Math"/>
          </w:rPr>
          <m:t>+28</m:t>
        </m:r>
        <m:r>
          <w:rPr>
            <w:rFonts w:ascii="Cambria Math" w:hAnsi="Cambria Math" w:cs="Cambria Math"/>
          </w:rPr>
          <m:t>⋅</m:t>
        </m:r>
        <m:r>
          <w:rPr>
            <w:rFonts w:ascii="Cambria Math"/>
          </w:rPr>
          <m:t>n</m:t>
        </m:r>
      </m:oMath>
      <w:r>
        <w:t xml:space="preserve">. For carrier frequencies </w:t>
      </w:r>
      <w:r>
        <w:rPr>
          <w:lang w:val="en-US"/>
        </w:rPr>
        <w:t>within FR2</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pPr>
        <w:pStyle w:val="50"/>
      </w:pPr>
      <w:r>
        <w:rPr>
          <w:lang w:eastAsia="ja-JP"/>
        </w:rPr>
        <w:t>-</w:t>
      </w:r>
      <w:r>
        <w:rPr>
          <w:lang w:eastAsia="ja-JP"/>
        </w:rPr>
        <w:tab/>
      </w:r>
      <w:r>
        <w:rPr>
          <w:lang w:eastAsia="ja-JP"/>
        </w:rPr>
        <w:t xml:space="preserve">Case E - 240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ctrlPr>
              <w:rPr>
                <w:rFonts w:ascii="Cambria Math" w:hAnsi="Cambria Math"/>
                <w:i/>
                <w:lang w:eastAsia="ja-JP"/>
              </w:rPr>
            </m:ctrlPr>
          </m:e>
        </m:d>
        <m:r>
          <w:rPr>
            <w:rFonts w:ascii="Cambria Math"/>
          </w:rPr>
          <m:t>+56</m:t>
        </m:r>
        <m:r>
          <w:rPr>
            <w:rFonts w:ascii="Cambria Math" w:hAnsi="Cambria Math" w:cs="Cambria Math"/>
          </w:rPr>
          <m:t>⋅</m:t>
        </m:r>
        <m:r>
          <w:rPr>
            <w:rFonts w:ascii="Cambria Math"/>
          </w:rPr>
          <m:t>n</m:t>
        </m:r>
      </m:oMath>
      <w:r>
        <w:rPr>
          <w:lang w:eastAsia="ja-JP"/>
        </w:rPr>
        <w:t xml:space="preserve">. </w:t>
      </w:r>
      <w:r>
        <w:t xml:space="preserve">For carrier frequencies </w:t>
      </w:r>
      <w:r>
        <w:rPr>
          <w:lang w:val="en-US"/>
        </w:rPr>
        <w:t>within FR2-1</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t>.</w:t>
      </w:r>
    </w:p>
    <w:p>
      <w:pPr>
        <w:spacing w:before="120" w:beforeLines="0" w:after="120" w:afterLines="0"/>
        <w:ind w:firstLine="0"/>
        <w:rPr>
          <w:rFonts w:hint="default"/>
          <w:lang w:val="en-US" w:eastAsia="zh-CN"/>
        </w:rPr>
      </w:pPr>
      <w:r>
        <w:rPr>
          <w:rFonts w:hint="eastAsia"/>
          <w:b/>
          <w:bCs/>
          <w:i w:val="0"/>
          <w:iCs w:val="0"/>
          <w:lang w:val="en-US" w:eastAsia="zh-CN"/>
        </w:rPr>
        <w:t>Proposal 5:</w:t>
      </w:r>
      <w:r>
        <w:rPr>
          <w:rFonts w:hint="eastAsia"/>
          <w:b w:val="0"/>
          <w:bCs w:val="0"/>
          <w:i w:val="0"/>
          <w:iCs w:val="0"/>
          <w:lang w:val="en-US" w:eastAsia="zh-CN"/>
        </w:rPr>
        <w:t xml:space="preserve"> to send LS to RAN1 to indicate the NTN Ka-band support the Case D and Case E..</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eastAsia="zh-CN"/>
        </w:rPr>
        <w:t>from system parameter perspective for NTN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eastAsia" w:cs="Times New Roman"/>
          <w:sz w:val="20"/>
          <w:szCs w:val="20"/>
          <w:lang w:val="en-US" w:eastAsia="zh-CN"/>
        </w:rPr>
      </w:pPr>
      <w:r>
        <w:rPr>
          <w:rFonts w:hint="eastAsia"/>
          <w:b/>
          <w:bCs/>
          <w:i w:val="0"/>
          <w:iCs w:val="0"/>
          <w:lang w:val="en-US" w:eastAsia="zh-CN"/>
        </w:rPr>
        <w:t>Proposal 1:</w:t>
      </w:r>
      <w:r>
        <w:rPr>
          <w:rFonts w:hint="eastAsia"/>
          <w:b w:val="0"/>
          <w:bCs w:val="0"/>
          <w:i w:val="0"/>
          <w:iCs w:val="0"/>
          <w:lang w:val="en-US" w:eastAsia="zh-CN"/>
        </w:rPr>
        <w:t xml:space="preserve"> not to define channel bandwidth beyond 400MHz for </w:t>
      </w:r>
      <w:r>
        <w:rPr>
          <w:rFonts w:hint="eastAsia" w:cs="Times New Roman"/>
          <w:sz w:val="20"/>
          <w:szCs w:val="20"/>
          <w:lang w:val="en-US" w:eastAsia="zh-CN"/>
        </w:rPr>
        <w:t>Ka-band MSS-band.</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auto"/>
        <w:rPr>
          <w:rFonts w:hint="default"/>
          <w:b w:val="0"/>
          <w:bCs w:val="0"/>
          <w:i w:val="0"/>
          <w:iCs w:val="0"/>
          <w:lang w:val="en-US" w:eastAsia="zh-CN"/>
        </w:rPr>
      </w:pPr>
      <w:r>
        <w:rPr>
          <w:rFonts w:hint="eastAsia"/>
          <w:b/>
          <w:bCs/>
          <w:i w:val="0"/>
          <w:iCs w:val="0"/>
          <w:lang w:val="en-US" w:eastAsia="zh-CN"/>
        </w:rPr>
        <w:t>Observation 1:</w:t>
      </w:r>
      <w:r>
        <w:rPr>
          <w:rFonts w:hint="eastAsia"/>
          <w:b w:val="0"/>
          <w:bCs w:val="0"/>
          <w:i w:val="0"/>
          <w:iCs w:val="0"/>
          <w:lang w:val="en-US" w:eastAsia="zh-CN"/>
        </w:rPr>
        <w:t xml:space="preserve"> the legacy</w:t>
      </w:r>
      <w:r>
        <w:rPr>
          <w:rFonts w:hint="eastAsia"/>
          <w:szCs w:val="24"/>
          <w:lang w:val="en-US" w:eastAsia="zh-CN"/>
        </w:rPr>
        <w:t xml:space="preserve"> restriction for Tx-Rx carrier center frequency separation might be not needed if there are no filtering or duplex between MSS-band DL and UL.</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default"/>
          <w:b w:val="0"/>
          <w:bCs w:val="0"/>
          <w:i w:val="0"/>
          <w:iCs w:val="0"/>
          <w:sz w:val="20"/>
          <w:szCs w:val="20"/>
          <w:u w:val="none"/>
          <w:lang w:val="en-US" w:eastAsia="zh-CN"/>
        </w:rPr>
      </w:pPr>
      <w:r>
        <w:rPr>
          <w:rFonts w:hint="eastAsia"/>
          <w:b/>
          <w:bCs/>
          <w:i w:val="0"/>
          <w:iCs w:val="0"/>
          <w:sz w:val="20"/>
          <w:szCs w:val="20"/>
          <w:u w:val="none"/>
          <w:lang w:val="en-US" w:eastAsia="zh-CN"/>
        </w:rPr>
        <w:t>Proposal 2:</w:t>
      </w:r>
      <w:r>
        <w:rPr>
          <w:rFonts w:hint="eastAsia"/>
          <w:b w:val="0"/>
          <w:bCs w:val="0"/>
          <w:i w:val="0"/>
          <w:iCs w:val="0"/>
          <w:sz w:val="20"/>
          <w:szCs w:val="20"/>
          <w:u w:val="none"/>
          <w:lang w:val="en-US" w:eastAsia="zh-CN"/>
        </w:rPr>
        <w:t xml:space="preserve"> to use the same spectral utilization requirement of FR2 TN system for NTN Ka-band as starting point.</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to use following NR-ARFCN in the Table 2.3-1/2.3-2 for NTN Ka-band.</w:t>
      </w:r>
    </w:p>
    <w:p>
      <w:pPr>
        <w:pStyle w:val="45"/>
        <w:rPr>
          <w:rFonts w:hint="default" w:eastAsia="宋体"/>
          <w:color w:val="auto"/>
          <w:lang w:val="en-US" w:eastAsia="zh-CN"/>
        </w:rPr>
      </w:pPr>
      <w:r>
        <w:rPr>
          <w:color w:val="auto"/>
        </w:rPr>
        <w:t xml:space="preserve">Table </w:t>
      </w:r>
      <w:r>
        <w:rPr>
          <w:rFonts w:hint="eastAsia"/>
          <w:color w:val="auto"/>
          <w:lang w:val="en-US" w:eastAsia="zh-CN"/>
        </w:rPr>
        <w:t>2</w:t>
      </w:r>
      <w:r>
        <w:rPr>
          <w:color w:val="auto"/>
        </w:rPr>
        <w:t>.</w:t>
      </w:r>
      <w:r>
        <w:rPr>
          <w:rFonts w:hint="eastAsia"/>
          <w:color w:val="auto"/>
          <w:lang w:val="en-US" w:eastAsia="zh-CN"/>
        </w:rPr>
        <w:t>3</w:t>
      </w:r>
      <w:r>
        <w:rPr>
          <w:color w:val="auto"/>
        </w:rPr>
        <w:t xml:space="preserve">-1: </w:t>
      </w:r>
      <w:r>
        <w:rPr>
          <w:rFonts w:eastAsia="Yu Mincho"/>
          <w:color w:val="auto"/>
        </w:rPr>
        <w:t>NR-ARFCN parameters for the global frequency raster</w:t>
      </w:r>
      <w:r>
        <w:rPr>
          <w:rFonts w:hint="eastAsia" w:eastAsia="宋体"/>
          <w:color w:val="auto"/>
          <w:lang w:val="en-US" w:eastAsia="zh-CN"/>
        </w:rPr>
        <w:t xml:space="preserve"> [TS 38.101-</w:t>
      </w:r>
      <w:r>
        <w:rPr>
          <w:rFonts w:hint="eastAsia"/>
          <w:color w:val="auto"/>
          <w:lang w:val="en-US" w:eastAsia="zh-CN"/>
        </w:rPr>
        <w:t>5</w:t>
      </w:r>
      <w:r>
        <w:rPr>
          <w:rFonts w:hint="eastAsia" w:eastAsia="宋体"/>
          <w:color w:val="auto"/>
          <w:lang w:val="en-US" w:eastAsia="zh-CN"/>
        </w:rPr>
        <w:t>]</w:t>
      </w:r>
    </w:p>
    <w:tbl>
      <w:tblPr>
        <w:tblStyle w:val="24"/>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5"/>
              <w:rPr>
                <w:color w:val="auto"/>
              </w:rPr>
            </w:pPr>
            <w:r>
              <w:rPr>
                <w:color w:val="auto"/>
              </w:rPr>
              <w:t>Frequency range (MHz)</w:t>
            </w:r>
          </w:p>
        </w:tc>
        <w:tc>
          <w:tcPr>
            <w:tcW w:w="1369" w:type="dxa"/>
            <w:shd w:val="clear" w:color="auto" w:fill="auto"/>
          </w:tcPr>
          <w:p>
            <w:pPr>
              <w:pStyle w:val="35"/>
              <w:rPr>
                <w:color w:val="auto"/>
              </w:rPr>
            </w:pPr>
            <w:r>
              <w:rPr>
                <w:color w:val="auto"/>
              </w:rPr>
              <w:t>ΔF</w:t>
            </w:r>
            <w:r>
              <w:rPr>
                <w:color w:val="auto"/>
                <w:vertAlign w:val="subscript"/>
              </w:rPr>
              <w:t>Global</w:t>
            </w:r>
            <w:r>
              <w:rPr>
                <w:color w:val="auto"/>
              </w:rPr>
              <w:t xml:space="preserve"> (kHz)</w:t>
            </w:r>
          </w:p>
        </w:tc>
        <w:tc>
          <w:tcPr>
            <w:tcW w:w="1590" w:type="dxa"/>
            <w:shd w:val="clear" w:color="auto" w:fill="auto"/>
          </w:tcPr>
          <w:p>
            <w:pPr>
              <w:pStyle w:val="35"/>
              <w:rPr>
                <w:color w:val="auto"/>
              </w:rPr>
            </w:pPr>
            <w:r>
              <w:rPr>
                <w:color w:val="auto"/>
              </w:rPr>
              <w:t>F</w:t>
            </w:r>
            <w:r>
              <w:rPr>
                <w:color w:val="auto"/>
                <w:vertAlign w:val="subscript"/>
              </w:rPr>
              <w:t>REF-Offs</w:t>
            </w:r>
            <w:r>
              <w:rPr>
                <w:color w:val="auto"/>
              </w:rPr>
              <w:t xml:space="preserve"> [MHz]</w:t>
            </w:r>
          </w:p>
        </w:tc>
        <w:tc>
          <w:tcPr>
            <w:tcW w:w="1134" w:type="dxa"/>
            <w:shd w:val="clear" w:color="auto" w:fill="auto"/>
          </w:tcPr>
          <w:p>
            <w:pPr>
              <w:pStyle w:val="35"/>
              <w:rPr>
                <w:color w:val="auto"/>
              </w:rPr>
            </w:pPr>
            <w:r>
              <w:rPr>
                <w:color w:val="auto"/>
              </w:rPr>
              <w:t>N</w:t>
            </w:r>
            <w:r>
              <w:rPr>
                <w:color w:val="auto"/>
                <w:vertAlign w:val="subscript"/>
              </w:rPr>
              <w:t>REF-Offs</w:t>
            </w:r>
          </w:p>
        </w:tc>
        <w:tc>
          <w:tcPr>
            <w:tcW w:w="1935" w:type="dxa"/>
            <w:shd w:val="clear" w:color="auto" w:fill="auto"/>
          </w:tcPr>
          <w:p>
            <w:pPr>
              <w:pStyle w:val="35"/>
              <w:rPr>
                <w:color w:val="auto"/>
                <w:highlight w:val="yellow"/>
              </w:rPr>
            </w:pPr>
            <w:r>
              <w:rPr>
                <w:color w:val="auto"/>
                <w:highlight w:val="none"/>
              </w:rPr>
              <w:t>Range of N</w:t>
            </w:r>
            <w:r>
              <w:rPr>
                <w:color w:val="auto"/>
                <w:highlight w:val="none"/>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6"/>
              <w:rPr>
                <w:color w:val="auto"/>
                <w:lang w:val="en-US"/>
              </w:rPr>
            </w:pPr>
            <w:r>
              <w:rPr>
                <w:rFonts w:hint="eastAsia" w:cs="Arial"/>
                <w:color w:val="auto"/>
                <w:lang w:val="en-US" w:eastAsia="zh-CN"/>
              </w:rPr>
              <w:t>17700</w:t>
            </w:r>
            <w:r>
              <w:rPr>
                <w:color w:val="auto"/>
                <w:lang w:val="en-US"/>
              </w:rPr>
              <w:t xml:space="preserve"> – </w:t>
            </w:r>
            <w:r>
              <w:rPr>
                <w:rFonts w:hint="eastAsia" w:cs="Arial"/>
                <w:color w:val="auto"/>
                <w:lang w:val="en-US" w:eastAsia="zh-CN"/>
              </w:rPr>
              <w:t>20200</w:t>
            </w:r>
          </w:p>
        </w:tc>
        <w:tc>
          <w:tcPr>
            <w:tcW w:w="1369" w:type="dxa"/>
            <w:shd w:val="clear" w:color="auto" w:fill="auto"/>
          </w:tcPr>
          <w:p>
            <w:pPr>
              <w:pStyle w:val="36"/>
              <w:rPr>
                <w:rFonts w:hint="default" w:eastAsia="宋体"/>
                <w:color w:val="auto"/>
                <w:lang w:val="en-US" w:eastAsia="zh-CN"/>
              </w:rPr>
            </w:pPr>
            <w:r>
              <w:rPr>
                <w:rFonts w:hint="eastAsia" w:eastAsia="宋体"/>
                <w:color w:val="auto"/>
                <w:lang w:val="en-US" w:eastAsia="zh-CN"/>
              </w:rPr>
              <w:t>15</w:t>
            </w:r>
          </w:p>
        </w:tc>
        <w:tc>
          <w:tcPr>
            <w:tcW w:w="1590" w:type="dxa"/>
            <w:shd w:val="clear" w:color="auto" w:fill="auto"/>
            <w:vAlign w:val="bottom"/>
          </w:tcPr>
          <w:p>
            <w:pPr>
              <w:pStyle w:val="36"/>
              <w:rPr>
                <w:rFonts w:ascii="Arial" w:hAnsi="Arial" w:eastAsia="Times New Roman" w:cs="Times New Roman"/>
                <w:i w:val="0"/>
                <w:color w:val="auto"/>
                <w:kern w:val="0"/>
                <w:sz w:val="18"/>
                <w:szCs w:val="20"/>
                <w:u w:val="none"/>
                <w:lang w:val="en-US" w:eastAsia="zh-CN" w:bidi="ar-SA"/>
              </w:rPr>
            </w:pPr>
            <w:r>
              <w:rPr>
                <w:rFonts w:hint="default" w:ascii="Arial" w:hAnsi="Arial" w:eastAsia="Times New Roman" w:cs="Times New Roman"/>
                <w:i w:val="0"/>
                <w:color w:val="auto"/>
                <w:kern w:val="0"/>
                <w:sz w:val="18"/>
                <w:szCs w:val="20"/>
                <w:u w:val="none"/>
                <w:lang w:val="en-GB" w:eastAsia="ja-JP" w:bidi="ar-SA"/>
              </w:rPr>
              <w:t>1</w:t>
            </w:r>
            <w:r>
              <w:rPr>
                <w:rFonts w:hint="eastAsia" w:eastAsia="宋体" w:cs="Times New Roman"/>
                <w:i w:val="0"/>
                <w:color w:val="auto"/>
                <w:kern w:val="0"/>
                <w:sz w:val="18"/>
                <w:szCs w:val="20"/>
                <w:u w:val="none"/>
                <w:lang w:val="en-US" w:eastAsia="zh-CN" w:bidi="ar-SA"/>
              </w:rPr>
              <w:t>7</w:t>
            </w:r>
            <w:r>
              <w:rPr>
                <w:rFonts w:hint="default" w:ascii="Arial" w:hAnsi="Arial" w:eastAsia="Times New Roman" w:cs="Times New Roman"/>
                <w:i w:val="0"/>
                <w:color w:val="auto"/>
                <w:kern w:val="0"/>
                <w:sz w:val="18"/>
                <w:szCs w:val="20"/>
                <w:u w:val="none"/>
                <w:lang w:val="en-GB" w:eastAsia="ja-JP" w:bidi="ar-SA"/>
              </w:rPr>
              <w:t>700</w:t>
            </w:r>
          </w:p>
        </w:tc>
        <w:tc>
          <w:tcPr>
            <w:tcW w:w="1134" w:type="dxa"/>
            <w:shd w:val="clear" w:color="auto" w:fill="auto"/>
          </w:tcPr>
          <w:p>
            <w:pPr>
              <w:pStyle w:val="36"/>
              <w:rPr>
                <w:rFonts w:hint="default"/>
                <w:color w:val="auto"/>
                <w:lang w:val="en-US"/>
              </w:rPr>
            </w:pPr>
            <w:r>
              <w:rPr>
                <w:rFonts w:hint="eastAsia" w:ascii="Arial" w:hAnsi="Arial" w:eastAsia="Times New Roman" w:cs="Times New Roman"/>
                <w:i w:val="0"/>
                <w:color w:val="auto"/>
                <w:kern w:val="0"/>
                <w:sz w:val="18"/>
                <w:szCs w:val="20"/>
                <w:u w:val="none"/>
                <w:lang w:val="en-US" w:eastAsia="zh-CN" w:bidi="ar-SA"/>
              </w:rPr>
              <w:t>1580000</w:t>
            </w:r>
          </w:p>
        </w:tc>
        <w:tc>
          <w:tcPr>
            <w:tcW w:w="1935" w:type="dxa"/>
            <w:shd w:val="clear" w:color="auto" w:fill="auto"/>
          </w:tcPr>
          <w:p>
            <w:pPr>
              <w:pStyle w:val="36"/>
              <w:rPr>
                <w:color w:val="auto"/>
                <w:lang w:val="en-US"/>
              </w:rPr>
            </w:pPr>
            <w:r>
              <w:rPr>
                <w:rFonts w:hint="eastAsia" w:ascii="Arial" w:hAnsi="Arial" w:eastAsia="Times New Roman" w:cs="Times New Roman"/>
                <w:i w:val="0"/>
                <w:color w:val="auto"/>
                <w:kern w:val="0"/>
                <w:sz w:val="18"/>
                <w:szCs w:val="20"/>
                <w:u w:val="none"/>
                <w:lang w:val="en-US" w:eastAsia="zh-CN" w:bidi="ar-SA"/>
              </w:rPr>
              <w:t>1580000</w:t>
            </w:r>
            <w:r>
              <w:rPr>
                <w:color w:val="auto"/>
                <w:lang w:val="en-US"/>
              </w:rPr>
              <w:t xml:space="preserve"> – </w:t>
            </w:r>
            <w:r>
              <w:rPr>
                <w:rFonts w:hint="default" w:ascii="Arial" w:hAnsi="Arial" w:eastAsia="Times New Roman" w:cs="Times New Roman"/>
                <w:i w:val="0"/>
                <w:color w:val="auto"/>
                <w:kern w:val="0"/>
                <w:sz w:val="18"/>
                <w:szCs w:val="20"/>
                <w:u w:val="none"/>
                <w:lang w:val="en-US" w:eastAsia="zh-CN" w:bidi="ar"/>
              </w:rPr>
              <w:t>1746664</w:t>
            </w:r>
          </w:p>
        </w:tc>
      </w:tr>
    </w:tbl>
    <w:p>
      <w:pPr>
        <w:keepNext w:val="0"/>
        <w:keepLines w:val="0"/>
        <w:pageBreakBefore w:val="0"/>
        <w:widowControl w:val="0"/>
        <w:suppressLineNumbers w:val="0"/>
        <w:kinsoku/>
        <w:wordWrap/>
        <w:topLinePunct w:val="0"/>
        <w:bidi w:val="0"/>
        <w:snapToGrid/>
        <w:jc w:val="left"/>
        <w:rPr>
          <w:rFonts w:hint="eastAsia"/>
          <w:b w:val="0"/>
          <w:bCs w:val="0"/>
          <w:i w:val="0"/>
          <w:iCs w:val="0"/>
          <w:color w:val="auto"/>
          <w:lang w:val="en-US" w:eastAsia="zh-CN"/>
        </w:rPr>
      </w:pPr>
    </w:p>
    <w:p>
      <w:pPr>
        <w:keepNext w:val="0"/>
        <w:keepLines w:val="0"/>
        <w:pageBreakBefore w:val="0"/>
        <w:widowControl w:val="0"/>
        <w:suppressLineNumbers w:val="0"/>
        <w:kinsoku/>
        <w:wordWrap/>
        <w:topLinePunct w:val="0"/>
        <w:bidi w:val="0"/>
        <w:snapToGrid/>
        <w:jc w:val="left"/>
        <w:rPr>
          <w:rFonts w:hint="eastAsia"/>
          <w:b w:val="0"/>
          <w:bCs w:val="0"/>
          <w:i w:val="0"/>
          <w:iCs w:val="0"/>
          <w:color w:val="auto"/>
          <w:lang w:val="en-US" w:eastAsia="zh-CN"/>
        </w:rPr>
      </w:pPr>
    </w:p>
    <w:p>
      <w:pPr>
        <w:pStyle w:val="45"/>
        <w:rPr>
          <w:rFonts w:hint="default"/>
          <w:b/>
          <w:bCs/>
          <w:i w:val="0"/>
          <w:iCs w:val="0"/>
          <w:color w:val="auto"/>
          <w:lang w:val="en-US" w:eastAsia="zh-CN"/>
        </w:rPr>
      </w:pPr>
      <w:r>
        <w:rPr>
          <w:rFonts w:hint="default"/>
          <w:b/>
          <w:bCs/>
          <w:i w:val="0"/>
          <w:iCs w:val="0"/>
          <w:color w:val="auto"/>
          <w:lang w:val="en-US" w:eastAsia="zh-CN"/>
        </w:rPr>
        <w:t>Table 2.4.2. NR-ARFCN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35"/>
              <w:rPr>
                <w:rFonts w:eastAsia="Yu Mincho"/>
                <w:color w:val="auto"/>
              </w:rPr>
            </w:pPr>
            <w:r>
              <w:rPr>
                <w:color w:val="auto"/>
              </w:rPr>
              <w:t>Operating Band</w:t>
            </w:r>
          </w:p>
        </w:tc>
        <w:tc>
          <w:tcPr>
            <w:tcW w:w="1146" w:type="dxa"/>
            <w:tcBorders>
              <w:top w:val="single" w:color="auto" w:sz="4" w:space="0"/>
              <w:left w:val="single" w:color="auto" w:sz="4" w:space="0"/>
              <w:bottom w:val="single" w:color="auto" w:sz="4" w:space="0"/>
              <w:right w:val="single" w:color="auto" w:sz="4" w:space="0"/>
            </w:tcBorders>
          </w:tcPr>
          <w:p>
            <w:pPr>
              <w:pStyle w:val="35"/>
              <w:rPr>
                <w:color w:val="auto"/>
              </w:rPr>
            </w:pPr>
            <w:r>
              <w:rPr>
                <w:color w:val="auto"/>
              </w:rPr>
              <w:t>ΔF</w:t>
            </w:r>
            <w:r>
              <w:rPr>
                <w:color w:val="auto"/>
                <w:vertAlign w:val="subscript"/>
              </w:rPr>
              <w:t>Raster</w:t>
            </w:r>
          </w:p>
          <w:p>
            <w:pPr>
              <w:pStyle w:val="35"/>
              <w:rPr>
                <w:rFonts w:eastAsia="Yu Mincho"/>
                <w:color w:val="auto"/>
              </w:rPr>
            </w:pPr>
            <w:r>
              <w:rPr>
                <w:color w:val="auto"/>
              </w:rPr>
              <w:t>(kHz)</w:t>
            </w:r>
          </w:p>
        </w:tc>
        <w:tc>
          <w:tcPr>
            <w:tcW w:w="2881" w:type="dxa"/>
            <w:tcBorders>
              <w:top w:val="single" w:color="auto" w:sz="4" w:space="0"/>
              <w:left w:val="single" w:color="auto" w:sz="4" w:space="0"/>
              <w:bottom w:val="single" w:color="auto" w:sz="4" w:space="0"/>
              <w:right w:val="single" w:color="auto" w:sz="4" w:space="0"/>
            </w:tcBorders>
          </w:tcPr>
          <w:p>
            <w:pPr>
              <w:pStyle w:val="35"/>
              <w:rPr>
                <w:rFonts w:eastAsia="Yu Mincho"/>
                <w:color w:val="auto"/>
              </w:rPr>
            </w:pPr>
            <w:r>
              <w:rPr>
                <w:rFonts w:eastAsia="Yu Mincho"/>
                <w:color w:val="auto"/>
              </w:rPr>
              <w:t>Uplink and Downlink</w:t>
            </w:r>
          </w:p>
          <w:p>
            <w:pPr>
              <w:pStyle w:val="35"/>
              <w:rPr>
                <w:rFonts w:eastAsia="Yu Mincho"/>
                <w:color w:val="auto"/>
              </w:rPr>
            </w:pPr>
            <w:r>
              <w:rPr>
                <w:rFonts w:eastAsia="Yu Mincho"/>
                <w:color w:val="auto"/>
              </w:rPr>
              <w:t>Range of N</w:t>
            </w:r>
            <w:r>
              <w:rPr>
                <w:rFonts w:eastAsia="Yu Mincho"/>
                <w:color w:val="auto"/>
                <w:vertAlign w:val="subscript"/>
              </w:rPr>
              <w:t>REF</w:t>
            </w:r>
          </w:p>
          <w:p>
            <w:pPr>
              <w:pStyle w:val="35"/>
              <w:rPr>
                <w:rFonts w:eastAsia="Yu Mincho"/>
                <w:color w:val="auto"/>
              </w:rPr>
            </w:pPr>
            <w:r>
              <w:rPr>
                <w:rFonts w:eastAsia="Yu Mincho"/>
                <w:color w:val="aut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nil"/>
              <w:right w:val="nil"/>
            </w:tcBorders>
            <w:shd w:val="clear" w:color="auto" w:fill="auto"/>
          </w:tcPr>
          <w:p>
            <w:pPr>
              <w:pStyle w:val="36"/>
              <w:rPr>
                <w:rFonts w:hint="default" w:eastAsia="宋体"/>
                <w:color w:val="auto"/>
                <w:lang w:val="en-US" w:eastAsia="zh-CN"/>
              </w:rPr>
            </w:pPr>
            <w:r>
              <w:rPr>
                <w:rFonts w:hint="eastAsia" w:eastAsia="宋体"/>
                <w:color w:val="auto"/>
                <w:lang w:val="en-US" w:eastAsia="zh-CN"/>
              </w:rPr>
              <w:t>[n512]</w:t>
            </w:r>
          </w:p>
        </w:tc>
        <w:tc>
          <w:tcPr>
            <w:tcW w:w="1146" w:type="dxa"/>
            <w:tcBorders>
              <w:top w:val="single" w:color="auto" w:sz="4" w:space="0"/>
              <w:left w:val="nil"/>
              <w:bottom w:val="nil"/>
              <w:right w:val="nil"/>
            </w:tcBorders>
          </w:tcPr>
          <w:p>
            <w:pPr>
              <w:pStyle w:val="36"/>
              <w:rPr>
                <w:rFonts w:eastAsia="Yu Mincho"/>
                <w:color w:val="auto"/>
                <w:lang w:eastAsia="ja-JP"/>
              </w:rPr>
            </w:pPr>
            <w:r>
              <w:rPr>
                <w:rFonts w:eastAsia="Yu Mincho"/>
                <w:color w:val="auto"/>
                <w:lang w:eastAsia="ja-JP"/>
              </w:rPr>
              <w:t>60</w:t>
            </w:r>
          </w:p>
        </w:tc>
        <w:tc>
          <w:tcPr>
            <w:tcW w:w="2881" w:type="dxa"/>
            <w:tcBorders>
              <w:top w:val="single" w:color="auto" w:sz="4" w:space="0"/>
              <w:left w:val="nil"/>
              <w:bottom w:val="nil"/>
              <w:right w:val="single" w:color="auto" w:sz="4" w:space="0"/>
            </w:tcBorders>
          </w:tcPr>
          <w:p>
            <w:pPr>
              <w:pStyle w:val="36"/>
              <w:rPr>
                <w:rFonts w:eastAsia="Yu Mincho"/>
                <w:color w:val="auto"/>
                <w:lang w:eastAsia="ja-JP"/>
              </w:rPr>
            </w:pPr>
            <w:r>
              <w:rPr>
                <w:rFonts w:hint="eastAsia" w:ascii="Arial" w:hAnsi="Arial" w:eastAsia="Times New Roman" w:cs="Times New Roman"/>
                <w:i w:val="0"/>
                <w:color w:val="auto"/>
                <w:kern w:val="0"/>
                <w:sz w:val="18"/>
                <w:szCs w:val="20"/>
                <w:u w:val="none"/>
                <w:lang w:val="en-US" w:eastAsia="zh-CN" w:bidi="ar-SA"/>
              </w:rPr>
              <w:t>1580000</w:t>
            </w:r>
            <w:r>
              <w:rPr>
                <w:color w:val="auto"/>
                <w:lang w:val="en-US"/>
              </w:rPr>
              <w:t xml:space="preserve"> </w:t>
            </w:r>
            <w:r>
              <w:rPr>
                <w:rFonts w:eastAsia="Yu Mincho"/>
                <w:color w:val="auto"/>
                <w:lang w:eastAsia="ja-JP"/>
              </w:rPr>
              <w:t xml:space="preserve"> – &lt;</w:t>
            </w:r>
            <w:r>
              <w:rPr>
                <w:rFonts w:hint="eastAsia" w:eastAsia="宋体"/>
                <w:color w:val="auto"/>
                <w:lang w:val="en-US" w:eastAsia="zh-CN"/>
              </w:rPr>
              <w:t>4</w:t>
            </w:r>
            <w:r>
              <w:rPr>
                <w:rFonts w:eastAsia="Yu Mincho"/>
                <w:color w:val="auto"/>
                <w:lang w:eastAsia="ja-JP"/>
              </w:rPr>
              <w:t xml:space="preserve">&gt; – </w:t>
            </w:r>
            <w:r>
              <w:rPr>
                <w:rFonts w:hint="eastAsia" w:eastAsia="宋体"/>
                <w:color w:val="auto"/>
                <w:lang w:val="en-US" w:eastAsia="zh-CN"/>
              </w:rPr>
              <w:t>1</w:t>
            </w:r>
            <w:r>
              <w:rPr>
                <w:rFonts w:hint="default" w:ascii="Arial" w:hAnsi="Arial" w:eastAsia="Times New Roman" w:cs="Times New Roman"/>
                <w:i w:val="0"/>
                <w:color w:val="auto"/>
                <w:kern w:val="0"/>
                <w:sz w:val="18"/>
                <w:szCs w:val="20"/>
                <w:u w:val="none"/>
                <w:lang w:val="en-US" w:eastAsia="zh-CN" w:bidi="ar"/>
              </w:rPr>
              <w:t>746664</w:t>
            </w:r>
            <w:r>
              <w:rPr>
                <w:rFonts w:eastAsia="Yu Mincho"/>
                <w:color w:val="aut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single" w:color="auto" w:sz="4" w:space="0"/>
              <w:right w:val="nil"/>
            </w:tcBorders>
            <w:shd w:val="clear" w:color="auto" w:fill="auto"/>
          </w:tcPr>
          <w:p>
            <w:pPr>
              <w:pStyle w:val="36"/>
              <w:rPr>
                <w:color w:val="auto"/>
                <w:lang w:eastAsia="ja-JP"/>
              </w:rPr>
            </w:pPr>
          </w:p>
        </w:tc>
        <w:tc>
          <w:tcPr>
            <w:tcW w:w="1146" w:type="dxa"/>
            <w:tcBorders>
              <w:top w:val="nil"/>
              <w:left w:val="nil"/>
              <w:bottom w:val="single" w:color="auto" w:sz="4" w:space="0"/>
              <w:right w:val="nil"/>
            </w:tcBorders>
          </w:tcPr>
          <w:p>
            <w:pPr>
              <w:pStyle w:val="36"/>
              <w:rPr>
                <w:rFonts w:eastAsia="Yu Mincho"/>
                <w:color w:val="auto"/>
                <w:lang w:eastAsia="ja-JP"/>
              </w:rPr>
            </w:pPr>
            <w:r>
              <w:rPr>
                <w:color w:val="auto"/>
              </w:rPr>
              <w:t>120</w:t>
            </w:r>
          </w:p>
        </w:tc>
        <w:tc>
          <w:tcPr>
            <w:tcW w:w="2881" w:type="dxa"/>
            <w:tcBorders>
              <w:top w:val="nil"/>
              <w:left w:val="nil"/>
              <w:bottom w:val="single" w:color="auto" w:sz="4" w:space="0"/>
              <w:right w:val="single" w:color="auto" w:sz="4" w:space="0"/>
            </w:tcBorders>
          </w:tcPr>
          <w:p>
            <w:pPr>
              <w:pStyle w:val="36"/>
              <w:rPr>
                <w:color w:val="auto"/>
                <w:lang w:eastAsia="ja-JP"/>
              </w:rPr>
            </w:pPr>
            <w:r>
              <w:rPr>
                <w:rFonts w:hint="eastAsia" w:ascii="Arial" w:hAnsi="Arial" w:eastAsia="Times New Roman" w:cs="Times New Roman"/>
                <w:i w:val="0"/>
                <w:color w:val="auto"/>
                <w:kern w:val="0"/>
                <w:sz w:val="18"/>
                <w:szCs w:val="20"/>
                <w:u w:val="none"/>
                <w:lang w:val="en-US" w:eastAsia="zh-CN" w:bidi="ar-SA"/>
              </w:rPr>
              <w:t>1580000</w:t>
            </w:r>
            <w:r>
              <w:rPr>
                <w:color w:val="auto"/>
                <w:lang w:val="en-US"/>
              </w:rPr>
              <w:t xml:space="preserve"> </w:t>
            </w:r>
            <w:r>
              <w:rPr>
                <w:rFonts w:eastAsia="Yu Mincho"/>
                <w:color w:val="auto"/>
                <w:lang w:eastAsia="ja-JP"/>
              </w:rPr>
              <w:t xml:space="preserve"> </w:t>
            </w:r>
            <w:r>
              <w:rPr>
                <w:color w:val="auto"/>
              </w:rPr>
              <w:t>– &lt;</w:t>
            </w:r>
            <w:r>
              <w:rPr>
                <w:rFonts w:hint="eastAsia" w:eastAsia="宋体"/>
                <w:color w:val="auto"/>
                <w:lang w:val="en-US" w:eastAsia="zh-CN"/>
              </w:rPr>
              <w:t>8</w:t>
            </w:r>
            <w:r>
              <w:rPr>
                <w:color w:val="auto"/>
              </w:rPr>
              <w:t xml:space="preserve">&gt; – </w:t>
            </w:r>
            <w:r>
              <w:rPr>
                <w:rFonts w:hint="default" w:ascii="Arial" w:hAnsi="Arial" w:eastAsia="Times New Roman" w:cs="Times New Roman"/>
                <w:i w:val="0"/>
                <w:color w:val="auto"/>
                <w:kern w:val="0"/>
                <w:sz w:val="18"/>
                <w:szCs w:val="20"/>
                <w:u w:val="none"/>
                <w:lang w:val="en-US" w:eastAsia="zh-CN" w:bidi="ar"/>
              </w:rPr>
              <w:t>1746664</w:t>
            </w:r>
            <w:r>
              <w:rPr>
                <w:rFonts w:eastAsia="Yu Mincho"/>
                <w:color w:val="auto"/>
                <w:lang w:eastAsia="ja-JP"/>
              </w:rPr>
              <w:t xml:space="preserve"> </w:t>
            </w:r>
          </w:p>
        </w:tc>
      </w:tr>
    </w:tbl>
    <w:p>
      <w:pPr>
        <w:spacing w:before="120" w:beforeLines="0" w:after="120" w:afterLines="0"/>
        <w:ind w:firstLine="0" w:firstLineChars="0"/>
        <w:jc w:val="left"/>
        <w:rPr>
          <w:rFonts w:hint="eastAsia" w:eastAsia="Times New Roman" w:cs="Times New Roman"/>
          <w:kern w:val="0"/>
          <w:sz w:val="20"/>
          <w:szCs w:val="20"/>
          <w:highlight w:val="none"/>
          <w:lang w:val="en-US" w:eastAsia="zh-CN" w:bidi="ar-SA"/>
        </w:rPr>
      </w:pPr>
      <w:r>
        <w:rPr>
          <w:rFonts w:hint="eastAsia"/>
          <w:b/>
          <w:bCs/>
          <w:i w:val="0"/>
          <w:iCs w:val="0"/>
          <w:lang w:val="en-US" w:eastAsia="zh-CN"/>
        </w:rPr>
        <w:t>Proposal 4:</w:t>
      </w:r>
      <w:r>
        <w:rPr>
          <w:rFonts w:hint="eastAsia"/>
          <w:b w:val="0"/>
          <w:bCs w:val="0"/>
          <w:i w:val="0"/>
          <w:iCs w:val="0"/>
          <w:lang w:val="en-US" w:eastAsia="zh-CN"/>
        </w:rPr>
        <w:t xml:space="preserve"> to use following GSCN in the Table 2.3-3/2.3-4 for NTN Ka-band MSS-band.</w:t>
      </w: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1" w:type="dxa"/>
            <w:shd w:val="clear" w:color="auto" w:fill="auto"/>
          </w:tcPr>
          <w:p>
            <w:pPr>
              <w:pStyle w:val="36"/>
              <w:rPr>
                <w:b/>
                <w:color w:val="auto"/>
              </w:rPr>
            </w:pPr>
            <w:r>
              <w:rPr>
                <w:rFonts w:hint="eastAsia" w:cs="Arial"/>
                <w:color w:val="auto"/>
                <w:lang w:val="en-US" w:eastAsia="zh-CN"/>
              </w:rPr>
              <w:t>17700</w:t>
            </w:r>
            <w:r>
              <w:rPr>
                <w:color w:val="auto"/>
                <w:lang w:val="en-US"/>
              </w:rPr>
              <w:t xml:space="preserve"> – </w:t>
            </w:r>
            <w:r>
              <w:rPr>
                <w:rFonts w:hint="eastAsia" w:cs="Arial"/>
                <w:color w:val="auto"/>
                <w:lang w:val="en-US" w:eastAsia="zh-CN"/>
              </w:rPr>
              <w:t>20200</w:t>
            </w:r>
            <w:r>
              <w:rPr>
                <w:color w:val="auto"/>
              </w:rPr>
              <w:t xml:space="preserve"> MHz</w:t>
            </w:r>
          </w:p>
        </w:tc>
        <w:tc>
          <w:tcPr>
            <w:tcW w:w="3534" w:type="dxa"/>
            <w:shd w:val="clear" w:color="auto" w:fill="auto"/>
          </w:tcPr>
          <w:p>
            <w:pPr>
              <w:pStyle w:val="36"/>
              <w:rPr>
                <w:color w:val="auto"/>
              </w:rPr>
            </w:pPr>
            <w:r>
              <w:rPr>
                <w:rFonts w:hint="eastAsia" w:eastAsia="宋体" w:cs="Times New Roman"/>
                <w:i w:val="0"/>
                <w:color w:val="auto"/>
                <w:kern w:val="0"/>
                <w:sz w:val="18"/>
                <w:szCs w:val="20"/>
                <w:u w:val="none"/>
                <w:lang w:val="en-US" w:eastAsia="zh-CN" w:bidi="ar-SA"/>
              </w:rPr>
              <w:t>3000MHz</w:t>
            </w:r>
            <w:r>
              <w:rPr>
                <w:color w:val="auto"/>
              </w:rPr>
              <w:t xml:space="preserve"> MHz + N *</w:t>
            </w:r>
            <w:r>
              <w:rPr>
                <w:rFonts w:hint="eastAsia" w:eastAsia="宋体"/>
                <w:color w:val="auto"/>
                <w:lang w:val="en-US" w:eastAsia="zh-CN"/>
              </w:rPr>
              <w:t>1.44</w:t>
            </w:r>
            <w:r>
              <w:rPr>
                <w:color w:val="auto"/>
              </w:rPr>
              <w:t xml:space="preserve"> MHz</w:t>
            </w:r>
          </w:p>
          <w:p>
            <w:pPr>
              <w:pStyle w:val="36"/>
              <w:rPr>
                <w:b/>
                <w:color w:val="auto"/>
              </w:rPr>
            </w:pPr>
            <w:r>
              <w:rPr>
                <w:rFonts w:hint="eastAsia" w:eastAsia="宋体"/>
                <w:color w:val="auto"/>
                <w:u w:val="none"/>
                <w:lang w:val="en-US" w:eastAsia="zh-CN"/>
              </w:rPr>
              <w:t xml:space="preserve">N = </w:t>
            </w:r>
            <w:r>
              <w:rPr>
                <w:rFonts w:hint="eastAsia" w:ascii="Arial" w:hAnsi="Arial" w:eastAsia="宋体" w:cs="Times New Roman"/>
                <w:i w:val="0"/>
                <w:color w:val="auto"/>
                <w:kern w:val="0"/>
                <w:sz w:val="18"/>
                <w:szCs w:val="20"/>
                <w:u w:val="none"/>
                <w:lang w:val="en-US" w:eastAsia="zh-CN" w:bidi="ar"/>
              </w:rPr>
              <w:t>10209:11944</w:t>
            </w:r>
          </w:p>
        </w:tc>
        <w:tc>
          <w:tcPr>
            <w:tcW w:w="1927" w:type="dxa"/>
          </w:tcPr>
          <w:p>
            <w:pPr>
              <w:pStyle w:val="36"/>
              <w:rPr>
                <w:color w:val="auto"/>
              </w:rPr>
            </w:pPr>
            <w:r>
              <w:rPr>
                <w:color w:val="auto"/>
              </w:rPr>
              <w:t>7499 + N</w:t>
            </w:r>
          </w:p>
        </w:tc>
        <w:tc>
          <w:tcPr>
            <w:tcW w:w="1995" w:type="dxa"/>
            <w:shd w:val="clear" w:color="auto" w:fill="auto"/>
          </w:tcPr>
          <w:p>
            <w:pPr>
              <w:pStyle w:val="36"/>
              <w:rPr>
                <w:b/>
                <w:color w:val="auto"/>
              </w:rPr>
            </w:pPr>
            <w:r>
              <w:rPr>
                <w:rFonts w:hint="eastAsia"/>
                <w:color w:val="auto"/>
                <w:lang w:val="en-US" w:eastAsia="zh-CN"/>
              </w:rPr>
              <w:t>17708</w:t>
            </w:r>
            <w:r>
              <w:rPr>
                <w:color w:val="auto"/>
              </w:rPr>
              <w:t xml:space="preserve"> – </w:t>
            </w:r>
            <w:r>
              <w:rPr>
                <w:rFonts w:hint="default"/>
                <w:color w:val="auto"/>
                <w:lang w:val="en-US" w:eastAsia="zh-CN"/>
              </w:rPr>
              <w:t>19443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7" w:type="dxa"/>
            <w:gridSpan w:val="4"/>
            <w:shd w:val="clear" w:color="auto" w:fill="auto"/>
            <w:vAlign w:val="center"/>
          </w:tcPr>
          <w:p>
            <w:pPr>
              <w:pStyle w:val="48"/>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tc>
      </w:tr>
    </w:tbl>
    <w:p>
      <w:pPr>
        <w:pStyle w:val="45"/>
        <w:rPr>
          <w:rFonts w:hint="default"/>
          <w:b/>
          <w:bCs/>
          <w:i w:val="0"/>
          <w:iCs w:val="0"/>
          <w:lang w:val="en-US" w:eastAsia="zh-CN"/>
        </w:rPr>
      </w:pPr>
    </w:p>
    <w:p>
      <w:pPr>
        <w:pStyle w:val="45"/>
        <w:rPr>
          <w:rFonts w:hint="default"/>
          <w:b/>
          <w:bCs/>
          <w:i w:val="0"/>
          <w:iCs w:val="0"/>
          <w:u w:val="none"/>
          <w:lang w:val="en-US" w:eastAsia="zh-CN"/>
        </w:rPr>
      </w:pPr>
      <w:r>
        <w:rPr>
          <w:rFonts w:hint="default"/>
          <w:b/>
          <w:bCs/>
          <w:i w:val="0"/>
          <w:iCs w:val="0"/>
          <w:lang w:val="en-US" w:eastAsia="zh-CN"/>
        </w:rPr>
        <w:t>Table 2.</w:t>
      </w:r>
      <w:r>
        <w:rPr>
          <w:rFonts w:hint="eastAsia"/>
          <w:b/>
          <w:bCs/>
          <w:i w:val="0"/>
          <w:iCs w:val="0"/>
          <w:lang w:val="en-US" w:eastAsia="zh-CN"/>
        </w:rPr>
        <w:t>3</w:t>
      </w:r>
      <w:r>
        <w:rPr>
          <w:rFonts w:hint="default"/>
          <w:b/>
          <w:bCs/>
          <w:i w:val="0"/>
          <w:iCs w:val="0"/>
          <w:lang w:val="en-US" w:eastAsia="zh-CN"/>
        </w:rPr>
        <w:t>.4. GSCN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441"/>
        <w:gridCol w:w="239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NR Operating Band</w:t>
            </w:r>
          </w:p>
        </w:tc>
        <w:tc>
          <w:tcPr>
            <w:tcW w:w="2441" w:type="dxa"/>
            <w:tcBorders>
              <w:top w:val="single" w:color="auto" w:sz="4" w:space="0"/>
              <w:left w:val="single" w:color="auto" w:sz="4" w:space="0"/>
              <w:bottom w:val="single" w:color="auto" w:sz="4" w:space="0"/>
              <w:right w:val="single" w:color="auto" w:sz="4" w:space="0"/>
            </w:tcBorders>
          </w:tcPr>
          <w:p>
            <w:pPr>
              <w:pStyle w:val="35"/>
              <w:rPr>
                <w:rFonts w:eastAsia="Yu Mincho"/>
                <w:lang w:eastAsia="ja-JP"/>
              </w:rPr>
            </w:pPr>
            <w:r>
              <w:rPr>
                <w:rFonts w:eastAsia="Yu Mincho"/>
              </w:rPr>
              <w:t>SS Block SCS</w:t>
            </w:r>
          </w:p>
        </w:tc>
        <w:tc>
          <w:tcPr>
            <w:tcW w:w="2395"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SS Block pattern</w:t>
            </w:r>
            <w:r>
              <w:rPr>
                <w:rFonts w:eastAsia="Yu Mincho"/>
                <w:vertAlign w:val="superscript"/>
              </w:rPr>
              <w:t>1</w:t>
            </w:r>
          </w:p>
        </w:tc>
        <w:tc>
          <w:tcPr>
            <w:tcW w:w="2720"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rPr>
            </w:pPr>
            <w:r>
              <w:rPr>
                <w:rFonts w:eastAsia="Yu Mincho"/>
              </w:rPr>
              <w:t>Range of GSCN</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single" w:color="auto" w:sz="4" w:space="0"/>
              <w:left w:val="single" w:color="auto" w:sz="4" w:space="0"/>
              <w:bottom w:val="nil"/>
              <w:right w:val="single" w:color="auto" w:sz="4" w:space="0"/>
            </w:tcBorders>
            <w:shd w:val="clear" w:color="auto" w:fill="auto"/>
            <w:vAlign w:val="center"/>
          </w:tcPr>
          <w:p>
            <w:pPr>
              <w:pStyle w:val="36"/>
              <w:rPr>
                <w:rFonts w:hint="eastAsia" w:eastAsia="宋体"/>
                <w:lang w:val="en-US" w:eastAsia="zh-CN"/>
              </w:rPr>
            </w:pPr>
            <w:r>
              <w:rPr>
                <w:rFonts w:hint="eastAsia" w:eastAsia="宋体"/>
                <w:lang w:val="en-US" w:eastAsia="zh-CN"/>
              </w:rPr>
              <w:t>[</w:t>
            </w:r>
            <w:r>
              <w:t>n</w:t>
            </w:r>
            <w:r>
              <w:rPr>
                <w:rFonts w:hint="eastAsia" w:eastAsia="宋体"/>
                <w:lang w:val="en-US" w:eastAsia="zh-CN"/>
              </w:rPr>
              <w:t>512]</w:t>
            </w: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120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D</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lang w:val="en-US" w:eastAsia="zh-CN"/>
              </w:rPr>
            </w:pPr>
            <w:r>
              <w:rPr>
                <w:rFonts w:hint="eastAsia"/>
                <w:lang w:val="en-US" w:eastAsia="zh-CN"/>
              </w:rPr>
              <w:t>17724</w:t>
            </w:r>
            <w:r>
              <w:t>- &lt;</w:t>
            </w:r>
            <w:r>
              <w:rPr>
                <w:rFonts w:hint="eastAsia"/>
                <w:lang w:val="en-US" w:eastAsia="zh-CN"/>
              </w:rPr>
              <w:t>12</w:t>
            </w:r>
            <w:r>
              <w:t xml:space="preserve">&gt; - </w:t>
            </w:r>
            <w:r>
              <w:rPr>
                <w:rFonts w:hint="eastAsia"/>
                <w:lang w:val="en-US" w:eastAsia="zh-CN"/>
              </w:rPr>
              <w:t>19428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nil"/>
              <w:left w:val="single" w:color="auto" w:sz="4" w:space="0"/>
              <w:bottom w:val="single" w:color="auto" w:sz="4" w:space="0"/>
              <w:right w:val="single" w:color="auto" w:sz="4" w:space="0"/>
            </w:tcBorders>
            <w:shd w:val="clear" w:color="auto" w:fill="auto"/>
            <w:vAlign w:val="center"/>
          </w:tcPr>
          <w:p>
            <w:pPr>
              <w:pStyle w:val="36"/>
              <w:rPr>
                <w:rFonts w:eastAsia="Yu Mincho"/>
              </w:rPr>
            </w:pP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240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E</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lang w:val="en-US" w:eastAsia="zh-CN"/>
              </w:rPr>
            </w:pPr>
            <w:r>
              <w:rPr>
                <w:rFonts w:hint="eastAsia"/>
                <w:lang w:val="en-US" w:eastAsia="zh-CN"/>
              </w:rPr>
              <w:t>17736</w:t>
            </w:r>
            <w:r>
              <w:t xml:space="preserve"> - &lt;</w:t>
            </w:r>
            <w:r>
              <w:rPr>
                <w:rFonts w:hint="eastAsia"/>
                <w:lang w:val="en-US" w:eastAsia="zh-CN"/>
              </w:rPr>
              <w:t>24</w:t>
            </w:r>
            <w:r>
              <w:t xml:space="preserve">&gt; - </w:t>
            </w:r>
            <w:r>
              <w:rPr>
                <w:rFonts w:hint="eastAsia"/>
                <w:lang w:val="en-US" w:eastAsia="zh-CN"/>
              </w:rPr>
              <w:t>19416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left w:val="single" w:color="auto" w:sz="4" w:space="0"/>
              <w:bottom w:val="single" w:color="auto" w:sz="4" w:space="0"/>
              <w:right w:val="single" w:color="auto" w:sz="4" w:space="0"/>
            </w:tcBorders>
          </w:tcPr>
          <w:p>
            <w:pPr>
              <w:pStyle w:val="48"/>
            </w:pPr>
            <w:r>
              <w:t>NOTE 1:</w:t>
            </w:r>
            <w:r>
              <w:tab/>
            </w:r>
            <w:r>
              <w:t>SS Block pattern is defined in clause 4.1 in TS 38.213 [10].</w:t>
            </w:r>
          </w:p>
          <w:p>
            <w:pPr>
              <w:pStyle w:val="48"/>
              <w:ind w:left="0" w:firstLine="0"/>
              <w:rPr>
                <w:lang w:eastAsia="zh-CN"/>
              </w:rPr>
            </w:pPr>
            <w:r>
              <w:rPr>
                <w:rFonts w:hint="eastAsia"/>
                <w:lang w:eastAsia="zh-CN"/>
              </w:rPr>
              <w:t>N</w:t>
            </w:r>
            <w:r>
              <w:rPr>
                <w:lang w:eastAsia="zh-CN"/>
              </w:rPr>
              <w:t xml:space="preserve">OTE 2: </w:t>
            </w:r>
            <w:r>
              <w:rPr>
                <w:rFonts w:hint="eastAsia"/>
                <w:lang w:val="en-US" w:eastAsia="zh-CN"/>
              </w:rPr>
              <w:t xml:space="preserve"> Step size 12 equal to 17.28MHz by 1.44MHz*12 and step size 24 equals to 34.56MHz by 1.44MHz*24.</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p>
    <w:p>
      <w:pPr>
        <w:spacing w:before="120" w:beforeLines="0" w:after="120" w:afterLines="0"/>
        <w:ind w:firstLine="0"/>
        <w:rPr>
          <w:rFonts w:hint="eastAsia"/>
          <w:lang w:val="en-US" w:eastAsia="zh-CN"/>
        </w:rPr>
      </w:pPr>
      <w:r>
        <w:rPr>
          <w:rFonts w:hint="eastAsia"/>
          <w:b/>
          <w:bCs/>
          <w:i w:val="0"/>
          <w:iCs w:val="0"/>
          <w:lang w:val="en-US" w:eastAsia="zh-CN"/>
        </w:rPr>
        <w:t>Proposal 5:</w:t>
      </w:r>
      <w:r>
        <w:rPr>
          <w:rFonts w:hint="eastAsia"/>
          <w:b w:val="0"/>
          <w:bCs w:val="0"/>
          <w:i w:val="0"/>
          <w:iCs w:val="0"/>
          <w:lang w:val="en-US" w:eastAsia="zh-CN"/>
        </w:rPr>
        <w:t xml:space="preserve"> to send LS to RAN1 to indicate the NTN Ka-band MSS-band support the Case D and Case E..</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R4-2217496</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[104-bis-e][312] NR_NTN_enh_Part1</w:t>
      </w:r>
    </w:p>
    <w:p>
      <w:pPr>
        <w:pStyle w:val="53"/>
        <w:numPr>
          <w:ilvl w:val="0"/>
          <w:numId w:val="3"/>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R4-2217467</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NR NTN Enhancements Part1</w:t>
      </w:r>
      <w:r>
        <w:rPr>
          <w:rFonts w:hint="eastAsia" w:cs="Times New Roman"/>
          <w:b w:val="0"/>
          <w:sz w:val="20"/>
          <w:szCs w:val="20"/>
          <w:highlight w:val="none"/>
          <w:lang w:val="en-US" w:eastAsia="zh-CN"/>
        </w:rPr>
        <w:t>, Thales, approved.</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"https://www.3gpp.org/ftp/TSG_RAN/WG4_Radio/TSGR4_84/Docs/R4-1709181.zip" \t "https://portal.3gpp.org/ngppapp/_blank"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R4-1709181</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rPr>
        <w:t>WF on NR band Numbering</w:t>
      </w:r>
      <w:r>
        <w:rPr>
          <w:rFonts w:hint="eastAsia" w:ascii="Times New Roman" w:hAnsi="Times New Roman" w:eastAsia="宋体" w:cs="Times New Roman"/>
          <w:i w:val="0"/>
          <w:caps w:val="0"/>
          <w:spacing w:val="0"/>
          <w:sz w:val="20"/>
          <w:szCs w:val="20"/>
          <w:highlight w:val="none"/>
          <w:u w:val="none"/>
          <w:lang w:val="en-US" w:eastAsia="zh-CN"/>
        </w:rPr>
        <w:t>, approved.</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R4-2220224 Ad-hoc minutes for NTN above 10GHz band introduction</w:t>
      </w:r>
    </w:p>
    <w:p>
      <w:pPr>
        <w:pStyle w:val="53"/>
        <w:numPr>
          <w:ilvl w:val="0"/>
          <w:numId w:val="3"/>
        </w:numPr>
        <w:rPr>
          <w:rFonts w:hint="eastAsia" w:ascii="Times New Roman" w:hAnsi="Times New Roman" w:eastAsia="宋体" w:cs="Times New Roman"/>
          <w:i w:val="0"/>
          <w:caps w:val="0"/>
          <w:spacing w:val="0"/>
          <w:sz w:val="20"/>
          <w:szCs w:val="20"/>
          <w:highlight w:val="none"/>
          <w:u w:val="none"/>
          <w:lang w:eastAsia="zh-CN"/>
        </w:rPr>
      </w:pPr>
      <w:r>
        <w:rPr>
          <w:rFonts w:hint="eastAsia" w:ascii="Times New Roman" w:hAnsi="Times New Roman" w:eastAsia="宋体" w:cs="Times New Roman"/>
          <w:i w:val="0"/>
          <w:caps w:val="0"/>
          <w:spacing w:val="0"/>
          <w:sz w:val="20"/>
          <w:szCs w:val="20"/>
          <w:highlight w:val="none"/>
          <w:u w:val="none"/>
        </w:rPr>
        <w:t xml:space="preserve">R4-2220239 WF for </w:t>
      </w:r>
      <w:r>
        <w:rPr>
          <w:rFonts w:hint="eastAsia" w:ascii="Times New Roman" w:hAnsi="Times New Roman" w:eastAsia="宋体" w:cs="Times New Roman"/>
          <w:i w:val="0"/>
          <w:caps w:val="0"/>
          <w:spacing w:val="0"/>
          <w:sz w:val="20"/>
          <w:szCs w:val="20"/>
          <w:highlight w:val="none"/>
          <w:u w:val="none"/>
          <w:lang w:eastAsia="zh-CN"/>
        </w:rPr>
        <w:t>above</w:t>
      </w:r>
      <w:r>
        <w:rPr>
          <w:rFonts w:hint="eastAsia" w:ascii="Times New Roman" w:hAnsi="Times New Roman" w:eastAsia="宋体" w:cs="Times New Roman"/>
          <w:i w:val="0"/>
          <w:caps w:val="0"/>
          <w:spacing w:val="0"/>
          <w:sz w:val="20"/>
          <w:szCs w:val="20"/>
          <w:highlight w:val="none"/>
          <w:u w:val="none"/>
        </w:rPr>
        <w:t xml:space="preserve"> 10</w:t>
      </w:r>
      <w:r>
        <w:rPr>
          <w:rFonts w:hint="eastAsia" w:ascii="Times New Roman" w:hAnsi="Times New Roman" w:eastAsia="宋体" w:cs="Times New Roman"/>
          <w:i w:val="0"/>
          <w:caps w:val="0"/>
          <w:spacing w:val="0"/>
          <w:sz w:val="20"/>
          <w:szCs w:val="20"/>
          <w:highlight w:val="none"/>
          <w:u w:val="none"/>
          <w:lang w:eastAsia="zh-CN"/>
        </w:rPr>
        <w:t>GHz</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band</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definition</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and</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system</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parameters</w:t>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lang w:eastAsia="zh-CN"/>
        </w:rPr>
        <w:t>Thales</w:t>
      </w:r>
      <w:r>
        <w:rPr>
          <w:rFonts w:hint="eastAsia" w:cs="Times New Roman"/>
          <w:i w:val="0"/>
          <w:caps w:val="0"/>
          <w:spacing w:val="0"/>
          <w:sz w:val="20"/>
          <w:szCs w:val="20"/>
          <w:highlight w:val="none"/>
          <w:u w:val="none"/>
          <w:lang w:val="en-US" w:eastAsia="zh-CN"/>
        </w:rPr>
        <w:t>, Approved.</w:t>
      </w:r>
    </w:p>
    <w:p>
      <w:pPr>
        <w:pStyle w:val="53"/>
        <w:numPr>
          <w:ilvl w:val="0"/>
          <w:numId w:val="0"/>
        </w:numPr>
        <w:rPr>
          <w:rFonts w:hint="eastAsia" w:ascii="Times New Roman" w:hAnsi="Times New Roman" w:cs="Times New Roman"/>
          <w:b w:val="0"/>
          <w:sz w:val="20"/>
          <w:szCs w:val="20"/>
          <w:highlight w:val="none"/>
        </w:rPr>
      </w:pPr>
    </w:p>
    <w:p>
      <w:pPr>
        <w:pStyle w:val="53"/>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8276A24"/>
    <w:multiLevelType w:val="multilevel"/>
    <w:tmpl w:val="68276A24"/>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2D5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A9742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57EB2"/>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9874F1"/>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0731EE"/>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483EAD"/>
    <w:rsid w:val="0A5056C6"/>
    <w:rsid w:val="0A5060D6"/>
    <w:rsid w:val="0A544B53"/>
    <w:rsid w:val="0A5F4C2E"/>
    <w:rsid w:val="0A61702D"/>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8A537E"/>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E6493C"/>
    <w:rsid w:val="0CEA06E8"/>
    <w:rsid w:val="0CF5634C"/>
    <w:rsid w:val="0D0148C7"/>
    <w:rsid w:val="0D0213CD"/>
    <w:rsid w:val="0D04575D"/>
    <w:rsid w:val="0D0612B8"/>
    <w:rsid w:val="0D066A9C"/>
    <w:rsid w:val="0D0714BC"/>
    <w:rsid w:val="0D135280"/>
    <w:rsid w:val="0D136EF9"/>
    <w:rsid w:val="0D19652C"/>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0F6316"/>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571DA"/>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A5A30"/>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276D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20ED1"/>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2384A"/>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023C0"/>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B41F5"/>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C45F8"/>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55B99"/>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E07021"/>
    <w:rsid w:val="27FE4240"/>
    <w:rsid w:val="280008FF"/>
    <w:rsid w:val="2804331D"/>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0A77"/>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51B3C"/>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DE2380"/>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7579C4"/>
    <w:rsid w:val="2F805714"/>
    <w:rsid w:val="2F8640C4"/>
    <w:rsid w:val="2F8E5F5C"/>
    <w:rsid w:val="2F921FAC"/>
    <w:rsid w:val="2F93703C"/>
    <w:rsid w:val="2F9A4BB6"/>
    <w:rsid w:val="2FA21231"/>
    <w:rsid w:val="2FA54FC5"/>
    <w:rsid w:val="2FAD4759"/>
    <w:rsid w:val="2FAD5866"/>
    <w:rsid w:val="2FB91323"/>
    <w:rsid w:val="2FCA0967"/>
    <w:rsid w:val="2FD84674"/>
    <w:rsid w:val="2FDB17E1"/>
    <w:rsid w:val="2FE20568"/>
    <w:rsid w:val="2FE37171"/>
    <w:rsid w:val="2FE91596"/>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16FE"/>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CD2772"/>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9611D"/>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77953"/>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502F1"/>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427D3"/>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101"/>
    <w:rsid w:val="3AAC45FD"/>
    <w:rsid w:val="3AB2580E"/>
    <w:rsid w:val="3AB26A14"/>
    <w:rsid w:val="3AB94248"/>
    <w:rsid w:val="3ABE76C3"/>
    <w:rsid w:val="3ABF42F5"/>
    <w:rsid w:val="3ACE7D16"/>
    <w:rsid w:val="3AD73D23"/>
    <w:rsid w:val="3AE82839"/>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167EF"/>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0972"/>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07B5C"/>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87255"/>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3A63"/>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200E"/>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712D5"/>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0419"/>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C199A"/>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C35AB"/>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BC0C25"/>
    <w:rsid w:val="4ECA2CB3"/>
    <w:rsid w:val="4ED11474"/>
    <w:rsid w:val="4ED32EBD"/>
    <w:rsid w:val="4EE61722"/>
    <w:rsid w:val="4EE86D63"/>
    <w:rsid w:val="4EEC3838"/>
    <w:rsid w:val="4EEE11A3"/>
    <w:rsid w:val="4EF07E6E"/>
    <w:rsid w:val="4EF63696"/>
    <w:rsid w:val="4EFE4EC2"/>
    <w:rsid w:val="4EFF3444"/>
    <w:rsid w:val="4F037BFA"/>
    <w:rsid w:val="4F0441E5"/>
    <w:rsid w:val="4F0D4D4A"/>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C2A8B"/>
    <w:rsid w:val="50ED76FB"/>
    <w:rsid w:val="50F568D9"/>
    <w:rsid w:val="50FD2A03"/>
    <w:rsid w:val="5101000D"/>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5F6206"/>
    <w:rsid w:val="52612620"/>
    <w:rsid w:val="526478E1"/>
    <w:rsid w:val="526A546C"/>
    <w:rsid w:val="527847C1"/>
    <w:rsid w:val="52790FD9"/>
    <w:rsid w:val="52887A7D"/>
    <w:rsid w:val="52894DE6"/>
    <w:rsid w:val="528C5E23"/>
    <w:rsid w:val="52965280"/>
    <w:rsid w:val="529667DA"/>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47D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57510"/>
    <w:rsid w:val="549C6534"/>
    <w:rsid w:val="549D5652"/>
    <w:rsid w:val="54A14490"/>
    <w:rsid w:val="54A153FA"/>
    <w:rsid w:val="54A55A38"/>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A0C0C"/>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4E3E4D"/>
    <w:rsid w:val="58563BF0"/>
    <w:rsid w:val="58590DD2"/>
    <w:rsid w:val="5863473D"/>
    <w:rsid w:val="586C2A31"/>
    <w:rsid w:val="586E1447"/>
    <w:rsid w:val="58733BEB"/>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0C62BD"/>
    <w:rsid w:val="591A07AD"/>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B192D"/>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9519B"/>
    <w:rsid w:val="5CEB1D70"/>
    <w:rsid w:val="5CF45558"/>
    <w:rsid w:val="5CF70E19"/>
    <w:rsid w:val="5D00730C"/>
    <w:rsid w:val="5D072BC8"/>
    <w:rsid w:val="5D076525"/>
    <w:rsid w:val="5D0A3A75"/>
    <w:rsid w:val="5D1052BD"/>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BB6191"/>
    <w:rsid w:val="5DCE472A"/>
    <w:rsid w:val="5DD70750"/>
    <w:rsid w:val="5DE44DF4"/>
    <w:rsid w:val="5DED4540"/>
    <w:rsid w:val="5DFD4406"/>
    <w:rsid w:val="5E00720B"/>
    <w:rsid w:val="5E012896"/>
    <w:rsid w:val="5E074911"/>
    <w:rsid w:val="5E080467"/>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14D58"/>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46C11"/>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2350F"/>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A5C24"/>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A7C62"/>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825FDC"/>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6E5CF0"/>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A0943"/>
    <w:rsid w:val="6E4E0EC4"/>
    <w:rsid w:val="6E561494"/>
    <w:rsid w:val="6E567CD0"/>
    <w:rsid w:val="6E633CB5"/>
    <w:rsid w:val="6E651C83"/>
    <w:rsid w:val="6E7106EF"/>
    <w:rsid w:val="6E72570E"/>
    <w:rsid w:val="6E785A45"/>
    <w:rsid w:val="6E796FC0"/>
    <w:rsid w:val="6E8F6FAF"/>
    <w:rsid w:val="6E917497"/>
    <w:rsid w:val="6E9E5736"/>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F2D61"/>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085D"/>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40A69"/>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B7A86"/>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A2315"/>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AC3C57"/>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0399D"/>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EFD7856"/>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11BE4"/>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2023-02-17T11:50:16Z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